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B8" w:rsidRDefault="007411B8" w:rsidP="007411B8">
      <w:pPr>
        <w:pStyle w:val="Heading1"/>
      </w:pPr>
      <w:r>
        <w:t>Equilibrium</w:t>
      </w:r>
    </w:p>
    <w:p w:rsidR="007411B8" w:rsidRPr="00955686" w:rsidRDefault="007411B8" w:rsidP="007411B8">
      <w:pPr>
        <w:spacing w:before="60" w:after="60"/>
      </w:pPr>
      <w:r w:rsidRPr="00955686">
        <w:rPr>
          <w:b/>
          <w:sz w:val="28"/>
          <w:szCs w:val="28"/>
        </w:rPr>
        <w:t>Unit</w:t>
      </w:r>
      <w:r>
        <w:rPr>
          <w:b/>
          <w:sz w:val="28"/>
          <w:szCs w:val="28"/>
        </w:rPr>
        <w:t xml:space="preserve"> 13C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>
        <w:t>Solubility Product Constants</w:t>
      </w:r>
    </w:p>
    <w:p w:rsidR="00594A39" w:rsidRDefault="00594A39" w:rsidP="008042EB">
      <w:pPr>
        <w:pStyle w:val="Heading3"/>
      </w:pPr>
      <w:r>
        <w:t>Knowledge &amp; Understanding</w:t>
      </w:r>
    </w:p>
    <w:p w:rsidR="00594A39" w:rsidRDefault="00594A39" w:rsidP="00594A39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common ion effect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1A119D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 w:rsidRPr="001A119D">
        <w:rPr>
          <w:i/>
        </w:rPr>
        <w:t>K</w:t>
      </w:r>
      <w:r>
        <w:rPr>
          <w:vertAlign w:val="subscript"/>
        </w:rPr>
        <w:t>sp</w:t>
      </w:r>
      <w:proofErr w:type="spellEnd"/>
      <w:r>
        <w:t xml:space="preserve"> values and concentrations from </w:t>
      </w:r>
      <w:proofErr w:type="spellStart"/>
      <w:r w:rsidRPr="001A119D">
        <w:rPr>
          <w:i/>
        </w:rPr>
        <w:t>K</w:t>
      </w:r>
      <w:r>
        <w:rPr>
          <w:vertAlign w:val="subscript"/>
        </w:rPr>
        <w:t>sp</w:t>
      </w:r>
      <w:proofErr w:type="spellEnd"/>
      <w:r>
        <w:t xml:space="preserve"> values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7D3899" w:rsidRDefault="007D3899" w:rsidP="007D3899">
      <w:pPr>
        <w:pStyle w:val="Heading2"/>
      </w:pPr>
      <w:r>
        <w:t>Phases and Equilibrium</w:t>
      </w:r>
    </w:p>
    <w:p w:rsidR="007D3899" w:rsidRDefault="007D3899" w:rsidP="007D3899">
      <w:r>
        <w:t>Solids and pure liquids do not appear in the equilibrium expression.  This is because the moles of a pure solid or liquid per liter of that solid or liquid is really equivalent to the density, which is constant.</w:t>
      </w:r>
    </w:p>
    <w:p w:rsidR="007D3899" w:rsidRDefault="007D3899" w:rsidP="007D3899">
      <w:r>
        <w:t>For example, in the chemical reaction:</w:t>
      </w:r>
    </w:p>
    <w:p w:rsidR="007D3899" w:rsidRPr="001A119D" w:rsidRDefault="007411B8" w:rsidP="007D3899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123825</wp:posOffset>
                </wp:positionV>
                <wp:extent cx="266700" cy="0"/>
                <wp:effectExtent l="9525" t="57150" r="1905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7.5pt;margin-top:9.75pt;width:2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0nMwIAAFw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D3899" w:rsidRPr="001A119D">
        <w:t>CCl</w:t>
      </w:r>
      <w:r w:rsidR="007D3899" w:rsidRPr="001A119D">
        <w:rPr>
          <w:vertAlign w:val="subscript"/>
        </w:rPr>
        <w:t>4</w:t>
      </w:r>
      <w:r w:rsidR="007D3899" w:rsidRPr="001A119D">
        <w:rPr>
          <w:sz w:val="12"/>
          <w:szCs w:val="12"/>
        </w:rPr>
        <w:t> </w:t>
      </w:r>
      <w:r w:rsidR="007D3899" w:rsidRPr="001A119D">
        <w:rPr>
          <w:sz w:val="18"/>
          <w:szCs w:val="18"/>
        </w:rPr>
        <w:t>(g)</w:t>
      </w:r>
      <w:r w:rsidR="00B915A9">
        <w:t> </w:t>
      </w:r>
      <w:r w:rsidR="00DE1887">
        <w:rPr>
          <w:rFonts w:ascii="Royal Society of Chemistry" w:hAnsi="Royal Society of Chemistry"/>
        </w:rPr>
        <w:tab/>
      </w:r>
      <w:r w:rsidR="00B915A9">
        <w:t> </w:t>
      </w:r>
      <w:r w:rsidR="007D3899" w:rsidRPr="001A119D">
        <w:t>C</w:t>
      </w:r>
      <w:r w:rsidR="007D3899" w:rsidRPr="001A119D">
        <w:rPr>
          <w:sz w:val="12"/>
          <w:szCs w:val="12"/>
        </w:rPr>
        <w:t> </w:t>
      </w:r>
      <w:r w:rsidR="007D3899" w:rsidRPr="001A119D">
        <w:rPr>
          <w:sz w:val="18"/>
          <w:szCs w:val="18"/>
        </w:rPr>
        <w:t>(s)</w:t>
      </w:r>
      <w:r w:rsidR="007D3899" w:rsidRPr="001A119D">
        <w:t xml:space="preserve"> + 2</w:t>
      </w:r>
      <w:r w:rsidR="007D3899" w:rsidRPr="001A119D">
        <w:rPr>
          <w:sz w:val="12"/>
          <w:szCs w:val="12"/>
        </w:rPr>
        <w:t> </w:t>
      </w:r>
      <w:r w:rsidR="007D3899" w:rsidRPr="001A119D">
        <w:t>Cl</w:t>
      </w:r>
      <w:r w:rsidR="007D3899" w:rsidRPr="001A119D">
        <w:rPr>
          <w:vertAlign w:val="subscript"/>
        </w:rPr>
        <w:t>2</w:t>
      </w:r>
      <w:r w:rsidR="007D3899" w:rsidRPr="001A119D">
        <w:rPr>
          <w:sz w:val="12"/>
          <w:szCs w:val="12"/>
        </w:rPr>
        <w:t> </w:t>
      </w:r>
      <w:r w:rsidR="007D3899" w:rsidRPr="001A119D">
        <w:rPr>
          <w:sz w:val="18"/>
          <w:szCs w:val="18"/>
        </w:rPr>
        <w:t>(g)</w:t>
      </w:r>
    </w:p>
    <w:p w:rsidR="007D3899" w:rsidRDefault="007D3899" w:rsidP="007D3899">
      <w:r>
        <w:t>The equilibrium expression would be:</w:t>
      </w:r>
    </w:p>
    <w:p w:rsidR="007D3899" w:rsidRDefault="005765F2" w:rsidP="007D3899">
      <w:pPr>
        <w:spacing w:after="120"/>
        <w:jc w:val="center"/>
      </w:pPr>
      <w:r w:rsidRPr="007D3899">
        <w:rPr>
          <w:position w:val="-32"/>
        </w:rPr>
        <w:object w:dxaOrig="12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.75pt" o:ole="">
            <v:imagedata r:id="rId8" o:title=""/>
          </v:shape>
          <o:OLEObject Type="Embed" ProgID="Equation.3" ShapeID="_x0000_i1025" DrawAspect="Content" ObjectID="_1487147623" r:id="rId9"/>
        </w:object>
      </w:r>
    </w:p>
    <w:p w:rsidR="007D3899" w:rsidRDefault="007D3899" w:rsidP="007D3899">
      <w:pPr>
        <w:spacing w:after="120"/>
      </w:pPr>
      <w:r>
        <w:t>Where does this come from?</w:t>
      </w:r>
    </w:p>
    <w:p w:rsidR="007D3899" w:rsidRDefault="007D3899" w:rsidP="007D3899">
      <w:pPr>
        <w:spacing w:after="120"/>
      </w:pPr>
      <w:r>
        <w:t>Start with the usual products over reactants:</w:t>
      </w:r>
    </w:p>
    <w:p w:rsidR="007411B8" w:rsidRDefault="007411B8" w:rsidP="007D3899">
      <w:pPr>
        <w:spacing w:after="120"/>
      </w:pPr>
    </w:p>
    <w:p w:rsidR="007D3899" w:rsidRDefault="005765F2" w:rsidP="007D3899">
      <w:pPr>
        <w:spacing w:after="120"/>
        <w:jc w:val="center"/>
      </w:pPr>
      <w:r w:rsidRPr="007D3899">
        <w:rPr>
          <w:position w:val="-30"/>
        </w:rPr>
        <w:object w:dxaOrig="1620" w:dyaOrig="740">
          <v:shape id="_x0000_i1026" type="#_x0000_t75" style="width:81pt;height:36.75pt" o:ole="">
            <v:imagedata r:id="rId10" o:title=""/>
          </v:shape>
          <o:OLEObject Type="Embed" ProgID="Equation.3" ShapeID="_x0000_i1026" DrawAspect="Content" ObjectID="_1487147624" r:id="rId11"/>
        </w:object>
      </w:r>
    </w:p>
    <w:p w:rsidR="007D3899" w:rsidRDefault="001A119D" w:rsidP="007D3899">
      <w:pPr>
        <w:spacing w:after="120"/>
      </w:pPr>
      <w:r>
        <w:br w:type="page"/>
      </w:r>
      <w:r w:rsidR="007D3899">
        <w:lastRenderedPageBreak/>
        <w:t xml:space="preserve">However, [C] is the concentration of carbon (in moles per liter) </w:t>
      </w:r>
      <w:r w:rsidR="007D3899" w:rsidRPr="00284431">
        <w:rPr>
          <w:i/>
        </w:rPr>
        <w:t>in solid carbon</w:t>
      </w:r>
      <w:r w:rsidR="007D3899">
        <w:t>, which is just the density (a constant) divided by the molar mass (also a constant).  A constant divided by a constant is just another constant, which we’ll call “</w:t>
      </w:r>
      <w:r w:rsidR="007D3899" w:rsidRPr="007D3899">
        <w:rPr>
          <w:i/>
        </w:rPr>
        <w:t>K</w:t>
      </w:r>
      <w:r w:rsidR="007D3899">
        <w:softHyphen/>
      </w:r>
      <w:r w:rsidR="007D3899">
        <w:rPr>
          <w:vertAlign w:val="subscript"/>
        </w:rPr>
        <w:t>carbon</w:t>
      </w:r>
      <w:r w:rsidR="007D3899">
        <w:t xml:space="preserve">”.  This means: </w:t>
      </w:r>
    </w:p>
    <w:p w:rsidR="007411B8" w:rsidRDefault="007411B8" w:rsidP="007D3899">
      <w:pPr>
        <w:spacing w:after="120"/>
      </w:pPr>
    </w:p>
    <w:p w:rsidR="007D3899" w:rsidRDefault="005765F2" w:rsidP="007D3899">
      <w:pPr>
        <w:spacing w:after="120"/>
        <w:jc w:val="center"/>
      </w:pPr>
      <w:r w:rsidRPr="007D3899">
        <w:rPr>
          <w:position w:val="-30"/>
        </w:rPr>
        <w:object w:dxaOrig="3940" w:dyaOrig="740">
          <v:shape id="_x0000_i1027" type="#_x0000_t75" style="width:197.25pt;height:36.75pt" o:ole="">
            <v:imagedata r:id="rId12" o:title=""/>
          </v:shape>
          <o:OLEObject Type="Embed" ProgID="Equation.3" ShapeID="_x0000_i1027" DrawAspect="Content" ObjectID="_1487147625" r:id="rId13"/>
        </w:object>
      </w:r>
    </w:p>
    <w:p w:rsidR="007411B8" w:rsidRDefault="007411B8" w:rsidP="007D3899">
      <w:pPr>
        <w:spacing w:after="120"/>
      </w:pPr>
    </w:p>
    <w:p w:rsidR="007411B8" w:rsidRDefault="007411B8" w:rsidP="007D3899">
      <w:pPr>
        <w:spacing w:after="120"/>
      </w:pPr>
    </w:p>
    <w:p w:rsidR="007D3899" w:rsidRDefault="007D3899" w:rsidP="007D3899">
      <w:pPr>
        <w:spacing w:after="120"/>
      </w:pPr>
      <w:r>
        <w:t xml:space="preserve">Now, applying the “a constant divided by a constant is just another constant” idea again, we simply adjust </w:t>
      </w:r>
      <w:r w:rsidRPr="007D3899">
        <w:rPr>
          <w:i/>
        </w:rPr>
        <w:t>K</w:t>
      </w:r>
      <w:r>
        <w:rPr>
          <w:vertAlign w:val="subscript"/>
        </w:rPr>
        <w:t>c</w:t>
      </w:r>
      <w:r>
        <w:t xml:space="preserve"> so that the new </w:t>
      </w:r>
      <w:r w:rsidRPr="007D3899">
        <w:rPr>
          <w:i/>
        </w:rPr>
        <w:t>K</w:t>
      </w:r>
      <w:r>
        <w:rPr>
          <w:vertAlign w:val="subscript"/>
        </w:rPr>
        <w:t>c</w:t>
      </w:r>
      <w:r>
        <w:t xml:space="preserve"> is the old </w:t>
      </w:r>
      <w:r w:rsidRPr="007D3899">
        <w:rPr>
          <w:i/>
        </w:rPr>
        <w:t>K</w:t>
      </w:r>
      <w:r>
        <w:rPr>
          <w:vertAlign w:val="subscript"/>
        </w:rPr>
        <w:t>c</w:t>
      </w:r>
      <w:r>
        <w:t xml:space="preserve"> divided by </w:t>
      </w:r>
      <w:r w:rsidRPr="007D3899">
        <w:rPr>
          <w:i/>
        </w:rPr>
        <w:t>K</w:t>
      </w:r>
      <w:r>
        <w:rPr>
          <w:vertAlign w:val="subscript"/>
        </w:rPr>
        <w:t>carbon</w:t>
      </w:r>
      <w:r>
        <w:t>.  Therefore, the equilibrium becomes:</w:t>
      </w:r>
    </w:p>
    <w:p w:rsidR="007411B8" w:rsidRDefault="007411B8" w:rsidP="007D3899">
      <w:pPr>
        <w:spacing w:after="120"/>
      </w:pPr>
    </w:p>
    <w:p w:rsidR="007D3899" w:rsidRPr="005F02C7" w:rsidRDefault="005765F2" w:rsidP="007D3899">
      <w:pPr>
        <w:jc w:val="center"/>
      </w:pPr>
      <w:r w:rsidRPr="007D3899">
        <w:rPr>
          <w:position w:val="-32"/>
        </w:rPr>
        <w:object w:dxaOrig="1219" w:dyaOrig="740">
          <v:shape id="_x0000_i1028" type="#_x0000_t75" style="width:60.75pt;height:36.75pt" o:ole="">
            <v:imagedata r:id="rId8" o:title=""/>
          </v:shape>
          <o:OLEObject Type="Embed" ProgID="Equation.3" ShapeID="_x0000_i1028" DrawAspect="Content" ObjectID="_1487147626" r:id="rId14"/>
        </w:object>
      </w:r>
    </w:p>
    <w:p w:rsidR="007D3899" w:rsidRPr="005F02C7" w:rsidRDefault="00594A39" w:rsidP="007D3899">
      <w:pPr>
        <w:pStyle w:val="Heading2"/>
        <w:rPr>
          <w:szCs w:val="40"/>
        </w:rPr>
      </w:pPr>
      <w:r>
        <w:br w:type="page"/>
      </w:r>
      <w:r w:rsidR="007D3899" w:rsidRPr="005F02C7">
        <w:lastRenderedPageBreak/>
        <w:t>Solubility Product Constant (</w:t>
      </w:r>
      <w:r w:rsidR="007D3899" w:rsidRPr="007D3899">
        <w:rPr>
          <w:i/>
        </w:rPr>
        <w:t>K</w:t>
      </w:r>
      <w:r w:rsidR="007D3899" w:rsidRPr="005F02C7">
        <w:rPr>
          <w:vertAlign w:val="subscript"/>
        </w:rPr>
        <w:t>sp</w:t>
      </w:r>
      <w:r w:rsidR="007D3899" w:rsidRPr="005F02C7">
        <w:t>)</w:t>
      </w:r>
    </w:p>
    <w:p w:rsidR="007D3899" w:rsidRDefault="00594A39" w:rsidP="00263DD0">
      <w:pPr>
        <w:spacing w:after="180"/>
      </w:pPr>
      <w:r>
        <w:t>Earlier in this course,</w:t>
      </w:r>
      <w:r w:rsidR="007D3899">
        <w:t xml:space="preserve"> we defined “in</w:t>
      </w:r>
      <w:r>
        <w:t xml:space="preserve">soluble” to mean </w:t>
      </w:r>
      <w:r w:rsidR="00263DD0">
        <w:t>a saturated solution would have a concentration of less than 0.1</w:t>
      </w:r>
      <w:r w:rsidR="00263DD0" w:rsidRPr="00263DD0">
        <w:rPr>
          <w:sz w:val="12"/>
          <w:szCs w:val="12"/>
        </w:rPr>
        <w:t> </w:t>
      </w:r>
      <w:r w:rsidR="00263DD0">
        <w:t>M (or less than 3</w:t>
      </w:r>
      <w:r w:rsidR="00263DD0" w:rsidRPr="00263DD0">
        <w:rPr>
          <w:sz w:val="12"/>
          <w:szCs w:val="12"/>
        </w:rPr>
        <w:t> </w:t>
      </w:r>
      <w:r w:rsidR="00263DD0">
        <w:t>g/100</w:t>
      </w:r>
      <w:r w:rsidR="00263DD0" w:rsidRPr="00263DD0">
        <w:rPr>
          <w:sz w:val="12"/>
          <w:szCs w:val="12"/>
        </w:rPr>
        <w:t> </w:t>
      </w:r>
      <w:r w:rsidR="00263DD0">
        <w:t>g solvent).</w:t>
      </w:r>
    </w:p>
    <w:p w:rsidR="007D3899" w:rsidRDefault="007D3899" w:rsidP="00594A39">
      <w:pPr>
        <w:spacing w:after="180"/>
      </w:pPr>
      <w:r>
        <w:t xml:space="preserve">Actually, some amount of </w:t>
      </w:r>
      <w:r w:rsidR="00263DD0">
        <w:t>an</w:t>
      </w:r>
      <w:r>
        <w:t xml:space="preserve">y ionic compound can dissolve in water, though </w:t>
      </w:r>
      <w:r w:rsidR="00263DD0">
        <w:t xml:space="preserve">the amount </w:t>
      </w:r>
      <w:r>
        <w:t xml:space="preserve">can be </w:t>
      </w:r>
      <w:r w:rsidR="00263DD0">
        <w:t>miniscule</w:t>
      </w:r>
      <w:r>
        <w:t>.  For these “insoluble” compounds, when the compound is placed in water, the precipitate is in equilibrium with the solute.</w:t>
      </w:r>
    </w:p>
    <w:p w:rsidR="0070172B" w:rsidRPr="004E2774" w:rsidRDefault="0070172B" w:rsidP="00594A39">
      <w:pPr>
        <w:spacing w:after="180"/>
      </w:pPr>
    </w:p>
    <w:p w:rsidR="0070172B" w:rsidRDefault="0070172B" w:rsidP="0070172B">
      <w:pPr>
        <w:spacing w:after="180"/>
        <w:jc w:val="center"/>
      </w:pPr>
      <w:r>
        <w:rPr>
          <w:noProof/>
        </w:rPr>
        <w:drawing>
          <wp:inline distT="0" distB="0" distL="0" distR="0">
            <wp:extent cx="3171825" cy="2040049"/>
            <wp:effectExtent l="0" t="0" r="0" b="0"/>
            <wp:docPr id="3" name="Picture 3" descr="http://scienceattech.com/html_pages/CHM_111_SolubilityEquilibrium_r2_html_3fa99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enceattech.com/html_pages/CHM_111_SolubilityEquilibrium_r2_html_3fa998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61" cy="20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2B" w:rsidRDefault="0070172B" w:rsidP="00594A39">
      <w:pPr>
        <w:spacing w:after="180"/>
      </w:pPr>
    </w:p>
    <w:p w:rsidR="0070172B" w:rsidRPr="00DA5779" w:rsidRDefault="0070172B" w:rsidP="0070172B">
      <w:pPr>
        <w:spacing w:after="180"/>
        <w:jc w:val="center"/>
        <w:rPr>
          <w:sz w:val="22"/>
        </w:rPr>
      </w:pPr>
      <w:r w:rsidRPr="00DA5779">
        <w:rPr>
          <w:sz w:val="22"/>
        </w:rPr>
        <w:t>Solubility Simulation: http://phet.colorado.edu/en/simulation/soluble-salts</w:t>
      </w:r>
    </w:p>
    <w:p w:rsidR="0070172B" w:rsidRDefault="0070172B" w:rsidP="00594A39">
      <w:pPr>
        <w:spacing w:after="180"/>
      </w:pPr>
    </w:p>
    <w:p w:rsidR="0070172B" w:rsidRDefault="0070172B" w:rsidP="00594A39">
      <w:pPr>
        <w:spacing w:after="180"/>
      </w:pPr>
    </w:p>
    <w:p w:rsidR="007D3899" w:rsidRDefault="007D3899" w:rsidP="00594A39">
      <w:pPr>
        <w:spacing w:after="180"/>
      </w:pPr>
      <w:r>
        <w:t>The solubility product constant (K</w:t>
      </w:r>
      <w:r>
        <w:rPr>
          <w:vertAlign w:val="subscript"/>
        </w:rPr>
        <w:t>sp</w:t>
      </w:r>
      <w:r>
        <w:t>)</w:t>
      </w:r>
      <w:r>
        <w:rPr>
          <w:sz w:val="42"/>
        </w:rPr>
        <w:t xml:space="preserve"> </w:t>
      </w:r>
      <w:r>
        <w:t xml:space="preserve">is </w:t>
      </w:r>
      <w:proofErr w:type="gramStart"/>
      <w:r>
        <w:t>an equilibrium</w:t>
      </w:r>
      <w:proofErr w:type="gramEnd"/>
      <w:r>
        <w:t xml:space="preserve"> constant for the process of the ionic solid dissociating and dissolving</w:t>
      </w:r>
      <w:r w:rsidR="00263DD0">
        <w:t>.  (</w:t>
      </w:r>
      <w:r w:rsidR="00B915A9">
        <w:t xml:space="preserve">Recall that solubility varies with temperature; </w:t>
      </w:r>
      <w:r w:rsidR="00263DD0" w:rsidRPr="00263DD0">
        <w:rPr>
          <w:i/>
        </w:rPr>
        <w:t>K</w:t>
      </w:r>
      <w:r w:rsidR="00263DD0">
        <w:rPr>
          <w:vertAlign w:val="subscript"/>
        </w:rPr>
        <w:t>sp</w:t>
      </w:r>
      <w:r w:rsidR="00263DD0">
        <w:t xml:space="preserve"> values are usually reported</w:t>
      </w:r>
      <w:r>
        <w:t xml:space="preserve"> at 25°C.</w:t>
      </w:r>
      <w:r w:rsidR="00263DD0">
        <w:t>)</w:t>
      </w:r>
    </w:p>
    <w:p w:rsidR="007D3899" w:rsidRDefault="007D3899" w:rsidP="00594A39">
      <w:pPr>
        <w:spacing w:after="180"/>
      </w:pPr>
      <w:r>
        <w:lastRenderedPageBreak/>
        <w:t>For example, the chemical equation for the dissol</w:t>
      </w:r>
      <w:r w:rsidR="00B915A9">
        <w:t>ution</w:t>
      </w:r>
      <w:r>
        <w:t xml:space="preserve"> of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is:</w:t>
      </w:r>
    </w:p>
    <w:p w:rsidR="007D3899" w:rsidRPr="007D3899" w:rsidRDefault="007411B8" w:rsidP="00594A39">
      <w:pPr>
        <w:spacing w:after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113665</wp:posOffset>
                </wp:positionV>
                <wp:extent cx="371475" cy="0"/>
                <wp:effectExtent l="9525" t="56515" r="19050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6.25pt;margin-top:8.95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D3899" w:rsidRPr="007D3899">
        <w:t>Ag</w:t>
      </w:r>
      <w:r w:rsidR="007D3899" w:rsidRPr="007D3899">
        <w:rPr>
          <w:vertAlign w:val="subscript"/>
        </w:rPr>
        <w:t>2</w:t>
      </w:r>
      <w:r w:rsidR="007D3899" w:rsidRPr="007D3899">
        <w:t>SO</w:t>
      </w:r>
      <w:r w:rsidR="007D3899" w:rsidRPr="007D3899">
        <w:rPr>
          <w:vertAlign w:val="subscript"/>
        </w:rPr>
        <w:t>4</w:t>
      </w:r>
      <w:r w:rsidR="007D3899" w:rsidRPr="007D3899">
        <w:rPr>
          <w:sz w:val="12"/>
          <w:szCs w:val="12"/>
        </w:rPr>
        <w:t> </w:t>
      </w:r>
      <w:r w:rsidR="007D3899" w:rsidRPr="007D3899">
        <w:rPr>
          <w:sz w:val="18"/>
          <w:szCs w:val="18"/>
        </w:rPr>
        <w:t>(s)</w:t>
      </w:r>
      <w:r w:rsidR="00B915A9">
        <w:t> </w:t>
      </w:r>
      <w:r w:rsidR="00DE1887">
        <w:rPr>
          <w:rFonts w:ascii="Royal Society of Chemistry" w:hAnsi="Royal Society of Chemistry"/>
        </w:rPr>
        <w:tab/>
      </w:r>
      <w:r w:rsidR="00DE1887">
        <w:rPr>
          <w:rFonts w:ascii="Royal Society of Chemistry" w:hAnsi="Royal Society of Chemistry"/>
        </w:rPr>
        <w:tab/>
      </w:r>
      <w:r w:rsidR="00B915A9">
        <w:t> </w:t>
      </w:r>
      <w:r w:rsidR="007D3899" w:rsidRPr="007D3899">
        <w:t>2</w:t>
      </w:r>
      <w:r w:rsidR="007D3899" w:rsidRPr="007D3899">
        <w:rPr>
          <w:sz w:val="12"/>
          <w:szCs w:val="12"/>
        </w:rPr>
        <w:t> </w:t>
      </w:r>
      <w:r w:rsidR="007D3899" w:rsidRPr="007D3899">
        <w:t>Ag</w:t>
      </w:r>
      <w:r w:rsidR="007D3899" w:rsidRPr="007D3899">
        <w:rPr>
          <w:vertAlign w:val="superscript"/>
        </w:rPr>
        <w:t>+</w:t>
      </w:r>
      <w:r w:rsidR="007D3899" w:rsidRPr="007D3899">
        <w:rPr>
          <w:sz w:val="12"/>
          <w:szCs w:val="12"/>
        </w:rPr>
        <w:t> </w:t>
      </w:r>
      <w:r w:rsidR="007D3899" w:rsidRPr="007D3899">
        <w:rPr>
          <w:sz w:val="18"/>
          <w:szCs w:val="18"/>
        </w:rPr>
        <w:t>(aq)</w:t>
      </w:r>
      <w:r w:rsidR="007D3899" w:rsidRPr="007D3899">
        <w:t xml:space="preserve"> + SO</w:t>
      </w:r>
      <w:r w:rsidR="007D3899" w:rsidRPr="007D3899">
        <w:rPr>
          <w:vertAlign w:val="subscript"/>
        </w:rPr>
        <w:t>4</w:t>
      </w:r>
      <w:r w:rsidR="007D3899" w:rsidRPr="007D3899">
        <w:rPr>
          <w:vertAlign w:val="superscript"/>
        </w:rPr>
        <w:t>2−</w:t>
      </w:r>
      <w:r w:rsidR="007D3899" w:rsidRPr="007D3899">
        <w:rPr>
          <w:sz w:val="12"/>
          <w:szCs w:val="12"/>
        </w:rPr>
        <w:t> </w:t>
      </w:r>
      <w:r w:rsidR="007D3899" w:rsidRPr="007D3899">
        <w:rPr>
          <w:sz w:val="18"/>
          <w:szCs w:val="18"/>
        </w:rPr>
        <w:t>(aq)</w:t>
      </w:r>
    </w:p>
    <w:p w:rsidR="0070172B" w:rsidRDefault="0070172B" w:rsidP="00594A39">
      <w:pPr>
        <w:spacing w:after="180"/>
      </w:pPr>
    </w:p>
    <w:p w:rsidR="007D3899" w:rsidRDefault="007D3899" w:rsidP="00594A39">
      <w:pPr>
        <w:spacing w:after="180"/>
      </w:pPr>
      <w:r>
        <w:t>As we saw earlier, solids do not appear in equilibrium constants, so the denominator is omitted.  This gives the following equation:</w:t>
      </w:r>
    </w:p>
    <w:p w:rsidR="0070172B" w:rsidRDefault="0070172B" w:rsidP="0070172B">
      <w:pPr>
        <w:spacing w:after="180"/>
      </w:pPr>
    </w:p>
    <w:p w:rsidR="007D3899" w:rsidRDefault="0070172B" w:rsidP="0070172B">
      <w:pPr>
        <w:spacing w:after="180"/>
      </w:pPr>
      <w:r>
        <w:t>For Ag</w:t>
      </w:r>
      <w:r>
        <w:softHyphen/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:</w:t>
      </w:r>
      <w:r>
        <w:tab/>
      </w:r>
      <w:r>
        <w:tab/>
      </w:r>
      <w:proofErr w:type="spellStart"/>
      <w:r w:rsidR="007D3899" w:rsidRPr="007D3899">
        <w:rPr>
          <w:i/>
        </w:rPr>
        <w:t>K</w:t>
      </w:r>
      <w:r w:rsidR="007D3899">
        <w:rPr>
          <w:vertAlign w:val="subscript"/>
        </w:rPr>
        <w:t>sp</w:t>
      </w:r>
      <w:proofErr w:type="spellEnd"/>
      <w:r w:rsidR="007D3899">
        <w:t> = [Ag</w:t>
      </w:r>
      <w:r w:rsidR="007D3899">
        <w:rPr>
          <w:vertAlign w:val="superscript"/>
        </w:rPr>
        <w:t>+</w:t>
      </w:r>
      <w:proofErr w:type="gramStart"/>
      <w:r w:rsidR="007D3899">
        <w:t>]</w:t>
      </w:r>
      <w:r w:rsidR="007D3899">
        <w:rPr>
          <w:vertAlign w:val="superscript"/>
        </w:rPr>
        <w:t>2</w:t>
      </w:r>
      <w:proofErr w:type="gramEnd"/>
      <w:r w:rsidR="007D3899" w:rsidRPr="00BF61A4">
        <w:rPr>
          <w:sz w:val="12"/>
          <w:szCs w:val="12"/>
        </w:rPr>
        <w:t> </w:t>
      </w:r>
      <w:r w:rsidR="007D3899">
        <w:t>[SO</w:t>
      </w:r>
      <w:r w:rsidR="007D3899">
        <w:rPr>
          <w:vertAlign w:val="subscript"/>
        </w:rPr>
        <w:t>4</w:t>
      </w:r>
      <w:r w:rsidR="007D3899">
        <w:rPr>
          <w:vertAlign w:val="superscript"/>
        </w:rPr>
        <w:t>2−</w:t>
      </w:r>
      <w:r w:rsidR="007D3899">
        <w:t>]</w:t>
      </w:r>
    </w:p>
    <w:p w:rsidR="007D3899" w:rsidRDefault="007D3899" w:rsidP="00DE1887">
      <w:pPr>
        <w:spacing w:after="180"/>
        <w:ind w:left="1440" w:firstLine="720"/>
      </w:pPr>
      <w:proofErr w:type="spellStart"/>
      <w:r w:rsidRPr="007D3899">
        <w:rPr>
          <w:i/>
        </w:rPr>
        <w:t>K</w:t>
      </w:r>
      <w:r>
        <w:rPr>
          <w:vertAlign w:val="subscript"/>
        </w:rPr>
        <w:t>sp</w:t>
      </w:r>
      <w:proofErr w:type="spellEnd"/>
      <w:r>
        <w:t> = 1.2 </w:t>
      </w:r>
      <w:r>
        <w:rPr>
          <w:rFonts w:ascii="Times New Roman" w:hAnsi="Times New Roman"/>
        </w:rPr>
        <w:t>×</w:t>
      </w:r>
      <w:r>
        <w:t> 10</w:t>
      </w:r>
      <w:r>
        <w:rPr>
          <w:vertAlign w:val="superscript"/>
        </w:rPr>
        <w:t>−5</w:t>
      </w:r>
      <w:r>
        <w:t> = [Ag</w:t>
      </w:r>
      <w:r>
        <w:rPr>
          <w:vertAlign w:val="superscript"/>
        </w:rPr>
        <w:t>+</w:t>
      </w:r>
      <w:proofErr w:type="gramStart"/>
      <w:r>
        <w:t>]</w:t>
      </w:r>
      <w:r>
        <w:rPr>
          <w:vertAlign w:val="superscript"/>
        </w:rPr>
        <w:t>2</w:t>
      </w:r>
      <w:proofErr w:type="gramEnd"/>
      <w:r w:rsidRPr="00BF61A4">
        <w:rPr>
          <w:sz w:val="12"/>
          <w:szCs w:val="12"/>
        </w:rPr>
        <w:t> </w:t>
      </w:r>
      <w:r>
        <w:t>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</w:t>
      </w:r>
    </w:p>
    <w:p w:rsidR="0070172B" w:rsidRDefault="0070172B" w:rsidP="00594A39">
      <w:pPr>
        <w:spacing w:after="180"/>
      </w:pPr>
    </w:p>
    <w:p w:rsidR="007D3899" w:rsidRDefault="007D3899" w:rsidP="00594A39">
      <w:pPr>
        <w:spacing w:after="180"/>
      </w:pPr>
      <w:r>
        <w:t>We can solve the above equation, because we know that one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molecule dissolves into 2 Ag</w:t>
      </w:r>
      <w:r>
        <w:rPr>
          <w:vertAlign w:val="superscript"/>
        </w:rPr>
        <w:t>+</w:t>
      </w:r>
      <w:r>
        <w:t xml:space="preserve"> + 1 SO</w:t>
      </w:r>
      <w:r>
        <w:softHyphen/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.  If we let 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 = x, then [Ag</w:t>
      </w:r>
      <w:r>
        <w:rPr>
          <w:vertAlign w:val="superscript"/>
        </w:rPr>
        <w:t>+</w:t>
      </w:r>
      <w:r>
        <w:t>] = 2</w:t>
      </w:r>
      <w:r w:rsidRPr="00E11088">
        <w:t>x</w:t>
      </w:r>
      <w:r>
        <w:t>, and:</w:t>
      </w:r>
    </w:p>
    <w:p w:rsidR="0070172B" w:rsidRDefault="0070172B" w:rsidP="00594A39">
      <w:pPr>
        <w:spacing w:after="180"/>
        <w:jc w:val="center"/>
      </w:pPr>
    </w:p>
    <w:p w:rsidR="007D3899" w:rsidRDefault="007D3899" w:rsidP="00594A39">
      <w:pPr>
        <w:spacing w:after="180"/>
        <w:jc w:val="center"/>
      </w:pP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 = </w:t>
      </w:r>
      <w:r w:rsidR="00594A39">
        <w:t>1.2 </w:t>
      </w:r>
      <w:r w:rsidR="00594A39">
        <w:rPr>
          <w:rFonts w:ascii="Times New Roman" w:hAnsi="Times New Roman"/>
        </w:rPr>
        <w:t>×</w:t>
      </w:r>
      <w:r w:rsidR="00594A39">
        <w:t> 10</w:t>
      </w:r>
      <w:r w:rsidR="00594A39">
        <w:rPr>
          <w:vertAlign w:val="superscript"/>
        </w:rPr>
        <w:t>−5</w:t>
      </w:r>
      <w:r w:rsidR="00594A39">
        <w:t xml:space="preserve"> = </w:t>
      </w:r>
      <w:r>
        <w:t>[Ag</w:t>
      </w:r>
      <w:r>
        <w:rPr>
          <w:vertAlign w:val="superscript"/>
        </w:rPr>
        <w:t>+</w:t>
      </w:r>
      <w:proofErr w:type="gramStart"/>
      <w:r>
        <w:t>]</w:t>
      </w:r>
      <w:r>
        <w:rPr>
          <w:vertAlign w:val="superscript"/>
        </w:rPr>
        <w:t>2</w:t>
      </w:r>
      <w:proofErr w:type="gramEnd"/>
      <w:r w:rsidRPr="00BF61A4">
        <w:rPr>
          <w:sz w:val="12"/>
          <w:szCs w:val="12"/>
        </w:rPr>
        <w:t> </w:t>
      </w:r>
      <w:r>
        <w:t>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 = (2x)</w:t>
      </w:r>
      <w:r>
        <w:rPr>
          <w:vertAlign w:val="superscript"/>
        </w:rPr>
        <w:t>2</w:t>
      </w:r>
      <w:r w:rsidRPr="00BF61A4">
        <w:rPr>
          <w:sz w:val="12"/>
          <w:szCs w:val="12"/>
        </w:rPr>
        <w:t> </w:t>
      </w:r>
      <w:r>
        <w:t>(x) = 4x</w:t>
      </w:r>
      <w:r>
        <w:rPr>
          <w:vertAlign w:val="superscript"/>
        </w:rPr>
        <w:t>3</w:t>
      </w:r>
    </w:p>
    <w:p w:rsidR="007D3899" w:rsidRDefault="005765F2" w:rsidP="007D3899">
      <w:pPr>
        <w:spacing w:after="120"/>
        <w:jc w:val="center"/>
      </w:pPr>
      <w:r w:rsidRPr="00594A39">
        <w:rPr>
          <w:position w:val="-52"/>
        </w:rPr>
        <w:object w:dxaOrig="3900" w:dyaOrig="1240">
          <v:shape id="_x0000_i1029" type="#_x0000_t75" style="width:195pt;height:62.25pt" o:ole="">
            <v:imagedata r:id="rId16" o:title=""/>
          </v:shape>
          <o:OLEObject Type="Embed" ProgID="Equation.3" ShapeID="_x0000_i1029" DrawAspect="Content" ObjectID="_1487147627" r:id="rId17"/>
        </w:object>
      </w:r>
    </w:p>
    <w:p w:rsidR="0070172B" w:rsidRDefault="0070172B" w:rsidP="007D3899">
      <w:pPr>
        <w:jc w:val="center"/>
      </w:pPr>
    </w:p>
    <w:p w:rsidR="007D3899" w:rsidRPr="003444AD" w:rsidRDefault="007D3899" w:rsidP="007D3899">
      <w:pPr>
        <w:jc w:val="center"/>
        <w:rPr>
          <w:szCs w:val="40"/>
        </w:rPr>
      </w:pPr>
      <w:bookmarkStart w:id="0" w:name="_GoBack"/>
      <w:bookmarkEnd w:id="0"/>
      <w:r>
        <w:t>In other words, a 0.0144</w:t>
      </w:r>
      <w:r w:rsidRPr="00C4237D">
        <w:rPr>
          <w:sz w:val="12"/>
          <w:szCs w:val="12"/>
        </w:rPr>
        <w:t> </w:t>
      </w:r>
      <w:r w:rsidRPr="00565B3C">
        <w:t>M</w:t>
      </w:r>
      <w:r>
        <w:t xml:space="preserve"> solution of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would be saturated (at 25°C).</w:t>
      </w:r>
    </w:p>
    <w:p w:rsidR="00955686" w:rsidRDefault="00BF61A4" w:rsidP="00BF61A4">
      <w:pPr>
        <w:pStyle w:val="Heading2"/>
      </w:pPr>
      <w:r>
        <w:br w:type="page"/>
      </w:r>
      <w:r>
        <w:lastRenderedPageBreak/>
        <w:t>Common Ion Effect</w:t>
      </w:r>
    </w:p>
    <w:p w:rsidR="00BF61A4" w:rsidRDefault="00BF61A4" w:rsidP="00BF61A4">
      <w:r w:rsidRPr="00BF61A4">
        <w:rPr>
          <w:i/>
        </w:rPr>
        <w:t>K</w:t>
      </w:r>
      <w:r>
        <w:rPr>
          <w:vertAlign w:val="subscript"/>
        </w:rPr>
        <w:t>sp</w:t>
      </w:r>
      <w:r>
        <w:t xml:space="preserve"> is a physical constant for a given compound.  One useful corollary of this fact is the common ion effect.</w:t>
      </w:r>
    </w:p>
    <w:p w:rsidR="00BF61A4" w:rsidRDefault="00BF61A4" w:rsidP="00BF61A4">
      <w:r>
        <w:t>As an illustrative example, suppose we start with 1</w:t>
      </w:r>
      <w:r w:rsidR="001D1791">
        <w:t>.00</w:t>
      </w:r>
      <w:r>
        <w:t> ℓ of a saturated solution of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  As we saw on the previous page, [Ag</w:t>
      </w:r>
      <w:r>
        <w:rPr>
          <w:vertAlign w:val="superscript"/>
        </w:rPr>
        <w:t>+</w:t>
      </w:r>
      <w:r>
        <w:t>] = 0.0288 M and 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 = 0.0144 M.  However, suppose we now add 1</w:t>
      </w:r>
      <w:r w:rsidR="001D1791">
        <w:t>.00</w:t>
      </w:r>
      <w:r>
        <w:t> mole of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  This brings the total 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 to 1.0144 M.</w:t>
      </w:r>
    </w:p>
    <w:p w:rsidR="00BF61A4" w:rsidRDefault="005765F2" w:rsidP="00BF61A4">
      <w:pPr>
        <w:jc w:val="center"/>
      </w:pPr>
      <w:r w:rsidRPr="00BF61A4">
        <w:rPr>
          <w:position w:val="-76"/>
        </w:rPr>
        <w:object w:dxaOrig="3879" w:dyaOrig="1640">
          <v:shape id="_x0000_i1030" type="#_x0000_t75" style="width:194.25pt;height:81.75pt" o:ole="">
            <v:imagedata r:id="rId18" o:title=""/>
          </v:shape>
          <o:OLEObject Type="Embed" ProgID="Equation.3" ShapeID="_x0000_i1030" DrawAspect="Content" ObjectID="_1487147628" r:id="rId19"/>
        </w:object>
      </w:r>
    </w:p>
    <w:p w:rsidR="00BF61A4" w:rsidRDefault="00BF61A4">
      <w:r>
        <w:t>Notice that [Ag</w:t>
      </w:r>
      <w:r>
        <w:rPr>
          <w:vertAlign w:val="superscript"/>
        </w:rPr>
        <w:t>+</w:t>
      </w:r>
      <w:r>
        <w:t xml:space="preserve">] is substantially lower than the 0.0288 M </w:t>
      </w:r>
      <w:r w:rsidR="00594A39">
        <w:t>that resulted when only Ag</w:t>
      </w:r>
      <w:r w:rsidR="00594A39">
        <w:rPr>
          <w:vertAlign w:val="subscript"/>
        </w:rPr>
        <w:t>2</w:t>
      </w:r>
      <w:r w:rsidR="00594A39">
        <w:t>SO</w:t>
      </w:r>
      <w:r w:rsidR="00594A39">
        <w:rPr>
          <w:vertAlign w:val="subscript"/>
        </w:rPr>
        <w:t>4</w:t>
      </w:r>
      <w:r w:rsidR="00594A39">
        <w:t xml:space="preserve"> was present.</w:t>
      </w:r>
    </w:p>
    <w:p w:rsidR="001D1791" w:rsidRPr="001D1791" w:rsidRDefault="001D1791">
      <w:r>
        <w:t>Note that we should really have calculated 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 xml:space="preserve">] as an I.C.E. problem.  However, if we assume that </w:t>
      </w:r>
      <w:r w:rsidRPr="001D1791">
        <w:rPr>
          <w:i/>
        </w:rPr>
        <w:t>all</w:t>
      </w:r>
      <w:r>
        <w:t xml:space="preserve"> of the [Ag</w:t>
      </w:r>
      <w:r>
        <w:rPr>
          <w:vertAlign w:val="superscript"/>
        </w:rPr>
        <w:t>+</w:t>
      </w:r>
      <w:r>
        <w:t>] in solution was removed by precipitation, this would remove all of the 0.0144 M of 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 xml:space="preserve"> that was initially in solution.  Using 1.00 M instead of 1.0144 M for the 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 gives [Ag</w:t>
      </w:r>
      <w:r>
        <w:rPr>
          <w:vertAlign w:val="superscript"/>
        </w:rPr>
        <w:t>+</w:t>
      </w:r>
      <w:r>
        <w:t>] = 3.46 </w:t>
      </w:r>
      <w:r w:rsidRPr="001D1791">
        <w:rPr>
          <w:rFonts w:ascii="Times New Roman" w:hAnsi="Times New Roman"/>
        </w:rPr>
        <w:t>×</w:t>
      </w:r>
      <w:r>
        <w:t> 10</w:t>
      </w:r>
      <w:r>
        <w:rPr>
          <w:vertAlign w:val="superscript"/>
        </w:rPr>
        <w:t>−3</w:t>
      </w:r>
      <w:r>
        <w:t> </w:t>
      </w:r>
      <w:r w:rsidRPr="001D1791">
        <w:rPr>
          <w:i/>
        </w:rPr>
        <w:t>M</w:t>
      </w:r>
      <w:r>
        <w:t xml:space="preserve"> instead of 3.44 </w:t>
      </w:r>
      <w:r w:rsidRPr="001D1791">
        <w:rPr>
          <w:rFonts w:ascii="Times New Roman" w:hAnsi="Times New Roman"/>
        </w:rPr>
        <w:t>×</w:t>
      </w:r>
      <w:r>
        <w:t> 10</w:t>
      </w:r>
      <w:r>
        <w:rPr>
          <w:vertAlign w:val="superscript"/>
        </w:rPr>
        <w:t>−3</w:t>
      </w:r>
      <w:r>
        <w:t> </w:t>
      </w:r>
      <w:r w:rsidRPr="001D1791">
        <w:rPr>
          <w:i/>
        </w:rPr>
        <w:t>M</w:t>
      </w:r>
      <w:r>
        <w:t>.  The difference is less than 1%, which means the simplification was reasonable.</w:t>
      </w:r>
    </w:p>
    <w:p w:rsidR="00594A39" w:rsidRPr="001D1791" w:rsidRDefault="00594A39">
      <w:r>
        <w:t xml:space="preserve">The common ion effect is a common </w:t>
      </w:r>
      <w:r w:rsidR="001D1791">
        <w:t xml:space="preserve">and powerful </w:t>
      </w:r>
      <w:r>
        <w:t>lab technique—a high concentration of a common ion is added in order to precipitate virtually all of an ion of interest</w:t>
      </w:r>
      <w:r w:rsidR="001D1791">
        <w:t>, such as removing toxic Hg</w:t>
      </w:r>
      <w:r w:rsidR="00BD070A">
        <w:rPr>
          <w:vertAlign w:val="superscript"/>
        </w:rPr>
        <w:t>2</w:t>
      </w:r>
      <w:r w:rsidR="001D1791">
        <w:rPr>
          <w:vertAlign w:val="superscript"/>
        </w:rPr>
        <w:t>+</w:t>
      </w:r>
      <w:r w:rsidR="001D1791">
        <w:t xml:space="preserve"> or Hg</w:t>
      </w:r>
      <w:r w:rsidR="001D1791">
        <w:rPr>
          <w:vertAlign w:val="subscript"/>
        </w:rPr>
        <w:t>2</w:t>
      </w:r>
      <w:r w:rsidR="001D1791">
        <w:rPr>
          <w:vertAlign w:val="superscript"/>
        </w:rPr>
        <w:t>2+</w:t>
      </w:r>
      <w:r w:rsidR="001D1791">
        <w:t xml:space="preserve"> ions from a solution before disposal.</w:t>
      </w:r>
    </w:p>
    <w:sectPr w:rsidR="00594A39" w:rsidRPr="001D1791" w:rsidSect="00B57031">
      <w:headerReference w:type="default" r:id="rId20"/>
      <w:footerReference w:type="default" r:id="rId21"/>
      <w:headerReference w:type="first" r:id="rId22"/>
      <w:footerReference w:type="first" r:id="rId23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CD" w:rsidRDefault="00EF2BCD">
      <w:r>
        <w:separator/>
      </w:r>
    </w:p>
  </w:endnote>
  <w:endnote w:type="continuationSeparator" w:id="0">
    <w:p w:rsidR="00EF2BCD" w:rsidRDefault="00EF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l Society of Chemistry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DE1887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F74A67">
      <w:rPr>
        <w:noProof/>
      </w:rPr>
      <w:t>4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F74A67">
      <w:rPr>
        <w:rStyle w:val="PageNumber"/>
        <w:noProof/>
      </w:rPr>
      <w:t>5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DE1887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F74A67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F74A67">
      <w:rPr>
        <w:rStyle w:val="PageNumber"/>
        <w:noProof/>
      </w:rPr>
      <w:t>5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CD" w:rsidRDefault="00EF2BCD">
      <w:r>
        <w:separator/>
      </w:r>
    </w:p>
  </w:footnote>
  <w:footnote w:type="continuationSeparator" w:id="0">
    <w:p w:rsidR="00EF2BCD" w:rsidRDefault="00EF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B915A9">
      <w:rPr>
        <w:sz w:val="32"/>
        <w:szCs w:val="32"/>
      </w:rPr>
      <w:t>Solubility Product Constants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13"/>
  </w:num>
  <w:num w:numId="24">
    <w:abstractNumId w:val="17"/>
  </w:num>
  <w:num w:numId="25">
    <w:abstractNumId w:val="15"/>
  </w:num>
  <w:num w:numId="26">
    <w:abstractNumId w:val="29"/>
  </w:num>
  <w:num w:numId="27">
    <w:abstractNumId w:val="12"/>
  </w:num>
  <w:num w:numId="28">
    <w:abstractNumId w:val="26"/>
  </w:num>
  <w:num w:numId="29">
    <w:abstractNumId w:val="14"/>
  </w:num>
  <w:num w:numId="30">
    <w:abstractNumId w:val="33"/>
  </w:num>
  <w:num w:numId="31">
    <w:abstractNumId w:val="31"/>
  </w:num>
  <w:num w:numId="32">
    <w:abstractNumId w:val="19"/>
  </w:num>
  <w:num w:numId="33">
    <w:abstractNumId w:val="24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99"/>
    <w:rsid w:val="00017FE6"/>
    <w:rsid w:val="000369EC"/>
    <w:rsid w:val="00037868"/>
    <w:rsid w:val="0004427D"/>
    <w:rsid w:val="000611C8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19D"/>
    <w:rsid w:val="001A1AB5"/>
    <w:rsid w:val="001A6F02"/>
    <w:rsid w:val="001B063B"/>
    <w:rsid w:val="001D1791"/>
    <w:rsid w:val="001D59B5"/>
    <w:rsid w:val="001D78AB"/>
    <w:rsid w:val="00222E43"/>
    <w:rsid w:val="00225F68"/>
    <w:rsid w:val="00240F3E"/>
    <w:rsid w:val="002472BC"/>
    <w:rsid w:val="0026108F"/>
    <w:rsid w:val="00263DD0"/>
    <w:rsid w:val="00280BE8"/>
    <w:rsid w:val="00284431"/>
    <w:rsid w:val="00297E94"/>
    <w:rsid w:val="002A76D1"/>
    <w:rsid w:val="002B51E6"/>
    <w:rsid w:val="002C314A"/>
    <w:rsid w:val="002C66B4"/>
    <w:rsid w:val="002D5587"/>
    <w:rsid w:val="002F71CD"/>
    <w:rsid w:val="0030445D"/>
    <w:rsid w:val="0030567B"/>
    <w:rsid w:val="00310E81"/>
    <w:rsid w:val="0033359A"/>
    <w:rsid w:val="00340D20"/>
    <w:rsid w:val="003444AD"/>
    <w:rsid w:val="0035692A"/>
    <w:rsid w:val="00373A70"/>
    <w:rsid w:val="00396149"/>
    <w:rsid w:val="003A4D55"/>
    <w:rsid w:val="003B5306"/>
    <w:rsid w:val="003D4F32"/>
    <w:rsid w:val="004031CB"/>
    <w:rsid w:val="00424F75"/>
    <w:rsid w:val="00436BC5"/>
    <w:rsid w:val="00442672"/>
    <w:rsid w:val="004513C5"/>
    <w:rsid w:val="00453A5A"/>
    <w:rsid w:val="00454AC7"/>
    <w:rsid w:val="0045686D"/>
    <w:rsid w:val="00467F29"/>
    <w:rsid w:val="00475CBB"/>
    <w:rsid w:val="0047789B"/>
    <w:rsid w:val="00497A5B"/>
    <w:rsid w:val="004C247D"/>
    <w:rsid w:val="004C261A"/>
    <w:rsid w:val="004D2957"/>
    <w:rsid w:val="004D7194"/>
    <w:rsid w:val="004E2774"/>
    <w:rsid w:val="004E412A"/>
    <w:rsid w:val="00535A64"/>
    <w:rsid w:val="0054315A"/>
    <w:rsid w:val="00565B3C"/>
    <w:rsid w:val="00573A04"/>
    <w:rsid w:val="005765F2"/>
    <w:rsid w:val="0057724A"/>
    <w:rsid w:val="00581870"/>
    <w:rsid w:val="00583475"/>
    <w:rsid w:val="005853ED"/>
    <w:rsid w:val="00586419"/>
    <w:rsid w:val="0059126D"/>
    <w:rsid w:val="00592289"/>
    <w:rsid w:val="00594A39"/>
    <w:rsid w:val="005A5DF8"/>
    <w:rsid w:val="005C7FFD"/>
    <w:rsid w:val="005D7D7A"/>
    <w:rsid w:val="005F02C7"/>
    <w:rsid w:val="005F35DF"/>
    <w:rsid w:val="00600E7C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172B"/>
    <w:rsid w:val="00704987"/>
    <w:rsid w:val="00732686"/>
    <w:rsid w:val="007411B8"/>
    <w:rsid w:val="00753C14"/>
    <w:rsid w:val="0076182E"/>
    <w:rsid w:val="007622FE"/>
    <w:rsid w:val="00787096"/>
    <w:rsid w:val="007B0A15"/>
    <w:rsid w:val="007B1024"/>
    <w:rsid w:val="007B1681"/>
    <w:rsid w:val="007B55B9"/>
    <w:rsid w:val="007C1527"/>
    <w:rsid w:val="007C37CD"/>
    <w:rsid w:val="007D3899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A7171"/>
    <w:rsid w:val="008B701D"/>
    <w:rsid w:val="008C5366"/>
    <w:rsid w:val="008D2E2C"/>
    <w:rsid w:val="008F790B"/>
    <w:rsid w:val="0091270F"/>
    <w:rsid w:val="009156EA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0AEA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15A9"/>
    <w:rsid w:val="00B96D0D"/>
    <w:rsid w:val="00BA4A3D"/>
    <w:rsid w:val="00BA6A5A"/>
    <w:rsid w:val="00BB6E3C"/>
    <w:rsid w:val="00BD070A"/>
    <w:rsid w:val="00BE7ED4"/>
    <w:rsid w:val="00BF61A4"/>
    <w:rsid w:val="00C0064C"/>
    <w:rsid w:val="00C02A14"/>
    <w:rsid w:val="00C032FF"/>
    <w:rsid w:val="00C4237D"/>
    <w:rsid w:val="00C761B7"/>
    <w:rsid w:val="00CA7AF8"/>
    <w:rsid w:val="00CB1F4A"/>
    <w:rsid w:val="00CC1352"/>
    <w:rsid w:val="00CC1B33"/>
    <w:rsid w:val="00CC7CD4"/>
    <w:rsid w:val="00CD7F47"/>
    <w:rsid w:val="00D05CB1"/>
    <w:rsid w:val="00D20A8E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1887"/>
    <w:rsid w:val="00DE33D6"/>
    <w:rsid w:val="00DE5E05"/>
    <w:rsid w:val="00E10656"/>
    <w:rsid w:val="00E11088"/>
    <w:rsid w:val="00E268EB"/>
    <w:rsid w:val="00E26BE7"/>
    <w:rsid w:val="00E54508"/>
    <w:rsid w:val="00E565FE"/>
    <w:rsid w:val="00E81CBD"/>
    <w:rsid w:val="00E93E05"/>
    <w:rsid w:val="00EB6A83"/>
    <w:rsid w:val="00EB7A7B"/>
    <w:rsid w:val="00EC7717"/>
    <w:rsid w:val="00EF2BCD"/>
    <w:rsid w:val="00F023ED"/>
    <w:rsid w:val="00F34C5B"/>
    <w:rsid w:val="00F51808"/>
    <w:rsid w:val="00F533AA"/>
    <w:rsid w:val="00F74A67"/>
    <w:rsid w:val="00F74EE2"/>
    <w:rsid w:val="00F77E9E"/>
    <w:rsid w:val="00F94629"/>
    <w:rsid w:val="00F961AB"/>
    <w:rsid w:val="00FA437A"/>
    <w:rsid w:val="00FB533E"/>
    <w:rsid w:val="00FC181B"/>
    <w:rsid w:val="00FC3235"/>
    <w:rsid w:val="00FC470F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3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Solubility Product Constants</vt:lpstr>
    </vt:vector>
  </TitlesOfParts>
  <Company>Waltham High School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Product Constants</dc:title>
  <dc:subject>Chemistry II</dc:subject>
  <dc:creator>Dan Walsh</dc:creator>
  <cp:lastModifiedBy>profile creator</cp:lastModifiedBy>
  <cp:revision>3</cp:revision>
  <cp:lastPrinted>2008-09-15T16:10:00Z</cp:lastPrinted>
  <dcterms:created xsi:type="dcterms:W3CDTF">2015-03-06T16:56:00Z</dcterms:created>
  <dcterms:modified xsi:type="dcterms:W3CDTF">2015-03-06T17:45:00Z</dcterms:modified>
</cp:coreProperties>
</file>