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F05F9C" w:rsidP="00436BC5">
      <w:pPr>
        <w:pStyle w:val="Heading1"/>
      </w:pPr>
      <w:r>
        <w:t>Intermolecular Forces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F05F9C">
        <w:rPr>
          <w:b/>
          <w:sz w:val="28"/>
          <w:szCs w:val="28"/>
        </w:rPr>
        <w:t xml:space="preserve"> 11A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F05F9C">
        <w:t>Bond Polarity</w:t>
      </w:r>
      <w:r w:rsidR="00F05F9C" w:rsidRPr="00955686">
        <w:t xml:space="preserve"> 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it means for a bond or molecule to be polar</w:t>
      </w:r>
    </w:p>
    <w:p w:rsidR="00DA5771" w:rsidRPr="00955686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dipole moment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the electronegativity difference between atoms in a bond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identify polar bonds &amp; polar molecules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draw polarity arrows indicating polarity of a molecule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B913C2" w:rsidP="00600E7C">
      <w:pPr>
        <w:ind w:left="360" w:hanging="360"/>
      </w:pPr>
      <w:proofErr w:type="gramStart"/>
      <w:r>
        <w:rPr>
          <w:u w:val="single"/>
        </w:rPr>
        <w:t>polar</w:t>
      </w:r>
      <w:proofErr w:type="gramEnd"/>
      <w:r w:rsidRPr="006D30AE">
        <w:t>:</w:t>
      </w:r>
      <w:r>
        <w:t xml:space="preserve">  anything with two opposite sides that are opposite with respect to something.  For example, a battery is </w:t>
      </w:r>
      <w:proofErr w:type="gramStart"/>
      <w:r>
        <w:t>polar</w:t>
      </w:r>
      <w:proofErr w:type="gramEnd"/>
      <w:r>
        <w:t xml:space="preserve"> because it has a positive and negative end.</w:t>
      </w:r>
    </w:p>
    <w:p w:rsidR="00B913C2" w:rsidRDefault="00B913C2" w:rsidP="00B913C2">
      <w:pPr>
        <w:ind w:left="360" w:hanging="360"/>
      </w:pPr>
      <w:proofErr w:type="gramStart"/>
      <w:r>
        <w:rPr>
          <w:u w:val="single"/>
        </w:rPr>
        <w:t>polar</w:t>
      </w:r>
      <w:proofErr w:type="gramEnd"/>
      <w:r>
        <w:rPr>
          <w:u w:val="single"/>
        </w:rPr>
        <w:t xml:space="preserve"> bond</w:t>
      </w:r>
      <w:r w:rsidRPr="005B033D">
        <w:t>:</w:t>
      </w:r>
      <w:r>
        <w:t xml:space="preserve">  a</w:t>
      </w:r>
      <w:r w:rsidR="00B90C21">
        <w:t>n ionic or</w:t>
      </w:r>
      <w:r>
        <w:t xml:space="preserve"> covalent bond that has opposite </w:t>
      </w:r>
      <w:r w:rsidR="00B90C21">
        <w:t xml:space="preserve">full or </w:t>
      </w:r>
      <w:r>
        <w:t xml:space="preserve">partial charges on each side (one side partially positive and one side partially negative), because of </w:t>
      </w:r>
      <w:r w:rsidR="00B90C21">
        <w:t xml:space="preserve">donation or </w:t>
      </w:r>
      <w:r>
        <w:t>unequal sharing of electrons.</w:t>
      </w:r>
    </w:p>
    <w:p w:rsidR="00B913C2" w:rsidRDefault="006E354F" w:rsidP="00B913C2">
      <w:r>
        <w:t>Ex: The bond between H and Cl in</w:t>
      </w:r>
      <w:r w:rsidR="00B913C2">
        <w:t xml:space="preserve"> </w:t>
      </w:r>
      <w:proofErr w:type="spellStart"/>
      <w:r>
        <w:t>HCl</w:t>
      </w:r>
      <w:proofErr w:type="spellEnd"/>
    </w:p>
    <w:p w:rsidR="006E354F" w:rsidRDefault="006E354F" w:rsidP="00B913C2"/>
    <w:p w:rsidR="00B913C2" w:rsidRDefault="00B913C2" w:rsidP="00B913C2">
      <w:r>
        <w:t xml:space="preserve">The bond is </w:t>
      </w:r>
      <w:proofErr w:type="gramStart"/>
      <w:r>
        <w:t>polar</w:t>
      </w:r>
      <w:proofErr w:type="gramEnd"/>
      <w:r>
        <w:t xml:space="preserve"> because hydrogen and chlorine share a pair of electrons, but the sharing is not equal.  Chlorine has an electronegativity of 3.</w:t>
      </w:r>
      <w:r w:rsidR="00B90C21">
        <w:t>0</w:t>
      </w:r>
      <w:r>
        <w:t>, but hydrogen has an electronegativity of only 2.</w:t>
      </w:r>
      <w:r w:rsidR="00B90C21">
        <w:t>1</w:t>
      </w:r>
      <w:r>
        <w:t>.  This means the electrons spend more time with chlorine than with hydrogen.</w:t>
      </w:r>
    </w:p>
    <w:p w:rsidR="00B90C21" w:rsidRDefault="00B913C2" w:rsidP="00B90C21">
      <w:r>
        <w:br w:type="page"/>
      </w:r>
      <w:r>
        <w:lastRenderedPageBreak/>
        <w:t>One way to show a polar bond is by label</w:t>
      </w:r>
      <w:r w:rsidR="00B90C21">
        <w:t>ing</w:t>
      </w:r>
      <w:r>
        <w:t xml:space="preserve"> atoms in the </w:t>
      </w:r>
      <w:r w:rsidR="00B90C21">
        <w:t xml:space="preserve">molecular </w:t>
      </w:r>
      <w:r>
        <w:t>structure with charges</w:t>
      </w:r>
      <w:r w:rsidR="00B90C21">
        <w:t>, if they form as a result of polar bonds</w:t>
      </w:r>
      <w:r>
        <w:t>.</w:t>
      </w:r>
    </w:p>
    <w:p w:rsidR="00B90C21" w:rsidRPr="00B90C21" w:rsidRDefault="00B90C21" w:rsidP="00B90C21">
      <w:pPr>
        <w:rPr>
          <w:u w:val="single"/>
        </w:rPr>
      </w:pPr>
      <w:r w:rsidRPr="00B90C21">
        <w:rPr>
          <w:u w:val="single"/>
        </w:rPr>
        <w:t xml:space="preserve">Ionic </w:t>
      </w:r>
      <w:proofErr w:type="gramStart"/>
      <w:r w:rsidRPr="00B90C21">
        <w:rPr>
          <w:u w:val="single"/>
        </w:rPr>
        <w:t>Bonds</w:t>
      </w:r>
      <w:r w:rsidR="00B913C2" w:rsidRPr="00B90C21">
        <w:rPr>
          <w:u w:val="single"/>
        </w:rPr>
        <w:t xml:space="preserve">  </w:t>
      </w:r>
      <w:r>
        <w:rPr>
          <w:u w:val="single"/>
        </w:rPr>
        <w:t>(</w:t>
      </w:r>
      <w:proofErr w:type="gramEnd"/>
      <w:r>
        <w:rPr>
          <w:u w:val="single"/>
        </w:rPr>
        <w:t>Metal &amp; Non-Metal, ΔEN &gt;1.7)</w:t>
      </w:r>
    </w:p>
    <w:p w:rsidR="00B90C21" w:rsidRDefault="00B90C21" w:rsidP="00B90C21">
      <w:r>
        <w:t>Recall that ionic bonding, or e- donation, results in full charges forming on the e- donor (+) and recipient (-).</w:t>
      </w:r>
      <w:r w:rsidR="0042328E">
        <w:t xml:space="preserve"> Complete donation occurs due to the large difference in electronegativity (EN) between the elements.</w:t>
      </w:r>
    </w:p>
    <w:p w:rsidR="00B90C21" w:rsidRDefault="006E354F" w:rsidP="006E354F">
      <w:pPr>
        <w:jc w:val="center"/>
      </w:pPr>
      <w:r>
        <w:rPr>
          <w:noProof/>
        </w:rPr>
        <w:drawing>
          <wp:inline distT="0" distB="0" distL="0" distR="0" wp14:anchorId="761D752F" wp14:editId="63259005">
            <wp:extent cx="3434964" cy="1414835"/>
            <wp:effectExtent l="0" t="0" r="0" b="0"/>
            <wp:docPr id="5" name="Picture 5" descr="http://eweb.furman.edu/~wworthen/bio111/2i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web.furman.edu/~wworthen/bio111/2ioni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50" cy="14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F" w:rsidRDefault="006E354F" w:rsidP="00B90C21"/>
    <w:p w:rsidR="00B90C21" w:rsidRDefault="00B90C21" w:rsidP="00B90C21">
      <w:r>
        <w:t>Ionic bonds are not true bonds</w:t>
      </w:r>
      <w:r w:rsidR="008E64AC">
        <w:t>;</w:t>
      </w:r>
      <w:r>
        <w:t xml:space="preserve"> however, as the elements in an ionic compound are only held together due to electrostatic charge attraction </w:t>
      </w:r>
      <w:r w:rsidR="00581465">
        <w:t>(</w:t>
      </w:r>
      <w:proofErr w:type="spellStart"/>
      <w:r w:rsidR="00581465">
        <w:t>coulombic</w:t>
      </w:r>
      <w:proofErr w:type="spellEnd"/>
      <w:r w:rsidR="00581465">
        <w:t xml:space="preserve"> force) </w:t>
      </w:r>
      <w:r>
        <w:t>between the ions. No orbitals are overlapping or hybridizing.</w:t>
      </w:r>
    </w:p>
    <w:p w:rsidR="00B90C21" w:rsidRDefault="00B90C21" w:rsidP="00B90C21"/>
    <w:p w:rsidR="00B90C21" w:rsidRDefault="00B90C21" w:rsidP="00B90C21">
      <w:r>
        <w:t>Ionic compounds still clearly exhibit polarity though, since one side of the molecule has an overall positive charge and the other an overall negative charge.</w:t>
      </w:r>
    </w:p>
    <w:p w:rsidR="006E354F" w:rsidRDefault="006E354F" w:rsidP="00B90C21"/>
    <w:p w:rsidR="00B90C21" w:rsidRPr="00B90C21" w:rsidRDefault="00B90C21" w:rsidP="00B90C21">
      <w:pPr>
        <w:rPr>
          <w:u w:val="single"/>
        </w:rPr>
      </w:pPr>
      <w:r w:rsidRPr="00B90C21">
        <w:rPr>
          <w:u w:val="single"/>
        </w:rPr>
        <w:lastRenderedPageBreak/>
        <w:t>Covalent Bonds</w:t>
      </w:r>
      <w:r w:rsidR="0042328E">
        <w:rPr>
          <w:u w:val="single"/>
        </w:rPr>
        <w:t xml:space="preserve"> (Non-Metal &amp; Non-Metal, ΔEN = 0-1.7)</w:t>
      </w:r>
    </w:p>
    <w:p w:rsidR="0042328E" w:rsidRDefault="00B90C21" w:rsidP="00B90C21">
      <w:r>
        <w:t xml:space="preserve">In the case of </w:t>
      </w:r>
      <w:r w:rsidRPr="006E354F">
        <w:rPr>
          <w:u w:val="single"/>
        </w:rPr>
        <w:t>polar covalent</w:t>
      </w:r>
      <w:r w:rsidRPr="006E354F">
        <w:t xml:space="preserve"> bonding</w:t>
      </w:r>
      <w:r w:rsidR="0042328E">
        <w:t xml:space="preserve"> (</w:t>
      </w:r>
      <w:r w:rsidR="0042328E" w:rsidRPr="0042328E">
        <w:t>ΔEN = 0.3</w:t>
      </w:r>
      <w:r w:rsidR="00F44CEB">
        <w:t>5</w:t>
      </w:r>
      <w:r w:rsidR="0042328E" w:rsidRPr="0042328E">
        <w:t>-1.7)</w:t>
      </w:r>
      <w:r w:rsidRPr="0042328E">
        <w:t>,</w:t>
      </w:r>
      <w:r>
        <w:t xml:space="preserve"> </w:t>
      </w:r>
      <w:r w:rsidR="0042328E">
        <w:t>e- are shared unevenly between the two atoms due to a lower difference in EN. The e</w:t>
      </w:r>
      <w:r w:rsidR="0042328E" w:rsidRPr="006E354F">
        <w:rPr>
          <w:vertAlign w:val="superscript"/>
        </w:rPr>
        <w:t>-</w:t>
      </w:r>
      <w:r w:rsidR="0042328E">
        <w:t xml:space="preserve"> </w:t>
      </w:r>
      <w:proofErr w:type="gramStart"/>
      <w:r w:rsidR="0042328E">
        <w:t>are</w:t>
      </w:r>
      <w:proofErr w:type="gramEnd"/>
      <w:r w:rsidR="0042328E">
        <w:t xml:space="preserve"> still shared as neither atom has a strong enough EN to completely steal the shared e</w:t>
      </w:r>
      <w:r w:rsidR="0042328E" w:rsidRPr="006E354F">
        <w:rPr>
          <w:vertAlign w:val="superscript"/>
        </w:rPr>
        <w:t>-</w:t>
      </w:r>
      <w:r w:rsidR="0042328E">
        <w:t>.</w:t>
      </w:r>
    </w:p>
    <w:p w:rsidR="00B913C2" w:rsidRDefault="0042328E" w:rsidP="00B90C21">
      <w:r>
        <w:t>Uneven sharing results in only partial charges forming on each atom involved in the polar covalent bond. T</w:t>
      </w:r>
      <w:r w:rsidR="00B913C2">
        <w:t>he lower-case Greek letter “delta” (</w:t>
      </w:r>
      <w:r w:rsidR="00B913C2">
        <w:rPr>
          <w:rFonts w:ascii="Times New Roman" w:hAnsi="Times New Roman"/>
        </w:rPr>
        <w:t>δ</w:t>
      </w:r>
      <w:r w:rsidR="00B913C2">
        <w:t xml:space="preserve">) is used to mean “partial”.  A partially positive charge would be shown as </w:t>
      </w:r>
      <w:r w:rsidR="00B913C2">
        <w:rPr>
          <w:rFonts w:ascii="Times New Roman" w:hAnsi="Times New Roman"/>
        </w:rPr>
        <w:t>δ+</w:t>
      </w:r>
      <w:r w:rsidR="00B913C2">
        <w:t xml:space="preserve"> and a partially negative charge would be shown as </w:t>
      </w:r>
      <w:r w:rsidR="00B913C2">
        <w:rPr>
          <w:rFonts w:ascii="Times New Roman" w:hAnsi="Times New Roman"/>
        </w:rPr>
        <w:t>δ−</w:t>
      </w:r>
      <w:r w:rsidR="00B913C2">
        <w:t>, as in the following example:</w:t>
      </w:r>
    </w:p>
    <w:p w:rsidR="006E354F" w:rsidRDefault="006E354F" w:rsidP="00B90C21"/>
    <w:p w:rsidR="00B913C2" w:rsidRDefault="006E354F" w:rsidP="00B913C2">
      <w:pPr>
        <w:ind w:left="360"/>
        <w:jc w:val="center"/>
      </w:pPr>
      <w:r>
        <w:rPr>
          <w:noProof/>
        </w:rPr>
        <w:drawing>
          <wp:inline distT="0" distB="0" distL="0" distR="0">
            <wp:extent cx="2730500" cy="1676400"/>
            <wp:effectExtent l="0" t="0" r="0" b="0"/>
            <wp:docPr id="9" name="Picture 9" descr="http://t1.gstatic.com/images?q=tbn:ANd9GcRG4oPLz36SUanpOxCCTjw-TyUaVR5Bk-VhE9wMPWb2CyoCJW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G4oPLz36SUanpOxCCTjw-TyUaVR5Bk-VhE9wMPWb2CyoCJWX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F" w:rsidRDefault="006E354F" w:rsidP="00B913C2">
      <w:pPr>
        <w:ind w:left="360"/>
        <w:jc w:val="center"/>
      </w:pPr>
    </w:p>
    <w:p w:rsidR="00B913C2" w:rsidRDefault="00B913C2" w:rsidP="00B913C2">
      <w:r>
        <w:t>In the above example, hydrogen has a partial positive charge</w:t>
      </w:r>
      <w:r w:rsidR="0042328E">
        <w:t xml:space="preserve"> due to its lower EN (2.1)</w:t>
      </w:r>
      <w:r>
        <w:t xml:space="preserve">, and </w:t>
      </w:r>
      <w:r w:rsidR="006E354F">
        <w:t>oxygen</w:t>
      </w:r>
      <w:r>
        <w:t xml:space="preserve"> has a partial negative charge</w:t>
      </w:r>
      <w:r w:rsidR="0042328E">
        <w:t xml:space="preserve"> due to its higher EN (3.</w:t>
      </w:r>
      <w:r w:rsidR="006E354F">
        <w:t>5</w:t>
      </w:r>
      <w:r w:rsidR="0042328E">
        <w:t>)</w:t>
      </w:r>
      <w:r>
        <w:t>.</w:t>
      </w:r>
    </w:p>
    <w:p w:rsidR="0042328E" w:rsidRPr="00250FC6" w:rsidRDefault="0042328E" w:rsidP="00B913C2"/>
    <w:p w:rsidR="0042328E" w:rsidRDefault="00483E8A" w:rsidP="0042328E">
      <w:pPr>
        <w:pStyle w:val="Heading3"/>
        <w:rPr>
          <w:b w:val="0"/>
          <w:sz w:val="24"/>
          <w:szCs w:val="24"/>
        </w:rPr>
      </w:pPr>
      <w:r>
        <w:br w:type="page"/>
      </w:r>
      <w:r w:rsidR="0042328E" w:rsidRPr="0042328E">
        <w:rPr>
          <w:b w:val="0"/>
          <w:sz w:val="24"/>
          <w:szCs w:val="24"/>
        </w:rPr>
        <w:lastRenderedPageBreak/>
        <w:t>Another common</w:t>
      </w:r>
      <w:r w:rsidR="0042328E">
        <w:rPr>
          <w:b w:val="0"/>
          <w:sz w:val="24"/>
          <w:szCs w:val="24"/>
        </w:rPr>
        <w:t xml:space="preserve"> way uneven e- sharing, or partial charges, </w:t>
      </w:r>
      <w:r w:rsidR="00C00637">
        <w:rPr>
          <w:b w:val="0"/>
          <w:sz w:val="24"/>
          <w:szCs w:val="24"/>
        </w:rPr>
        <w:t>is</w:t>
      </w:r>
      <w:r w:rsidR="0042328E">
        <w:rPr>
          <w:b w:val="0"/>
          <w:sz w:val="24"/>
          <w:szCs w:val="24"/>
        </w:rPr>
        <w:t xml:space="preserve"> shown is with e</w:t>
      </w:r>
      <w:r w:rsidR="00C00637">
        <w:rPr>
          <w:b w:val="0"/>
          <w:sz w:val="24"/>
          <w:szCs w:val="24"/>
        </w:rPr>
        <w:t>lectron</w:t>
      </w:r>
      <w:r w:rsidR="0042328E">
        <w:rPr>
          <w:b w:val="0"/>
          <w:sz w:val="24"/>
          <w:szCs w:val="24"/>
        </w:rPr>
        <w:t xml:space="preserve"> density maps.</w:t>
      </w:r>
    </w:p>
    <w:p w:rsidR="00C00637" w:rsidRPr="00C00637" w:rsidRDefault="00C00637" w:rsidP="00C00637"/>
    <w:p w:rsidR="0042328E" w:rsidRDefault="00F05F9C" w:rsidP="0042328E">
      <w:pPr>
        <w:jc w:val="center"/>
      </w:pPr>
      <w:r>
        <w:rPr>
          <w:noProof/>
        </w:rPr>
        <w:drawing>
          <wp:inline distT="0" distB="0" distL="0" distR="0">
            <wp:extent cx="1478915" cy="12084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E" w:rsidRPr="0042328E" w:rsidRDefault="00F05F9C" w:rsidP="0042328E">
      <w:pPr>
        <w:jc w:val="center"/>
      </w:pPr>
      <w:r>
        <w:rPr>
          <w:noProof/>
        </w:rPr>
        <w:drawing>
          <wp:inline distT="0" distB="0" distL="0" distR="0">
            <wp:extent cx="4277995" cy="1399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E" w:rsidRDefault="0042328E" w:rsidP="0042328E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 electron density map shows regions of high electron density (partial negative regions) in red and low electron density (partial positive regions) in blue.</w:t>
      </w:r>
      <w:r w:rsidR="00C00637">
        <w:rPr>
          <w:b w:val="0"/>
          <w:sz w:val="24"/>
          <w:szCs w:val="24"/>
        </w:rPr>
        <w:t xml:space="preserve"> In the map for </w:t>
      </w:r>
      <w:proofErr w:type="spellStart"/>
      <w:r w:rsidR="00C00637">
        <w:rPr>
          <w:b w:val="0"/>
          <w:sz w:val="24"/>
          <w:szCs w:val="24"/>
        </w:rPr>
        <w:t>HCl</w:t>
      </w:r>
      <w:proofErr w:type="spellEnd"/>
      <w:r w:rsidR="00C00637">
        <w:rPr>
          <w:b w:val="0"/>
          <w:sz w:val="24"/>
          <w:szCs w:val="24"/>
        </w:rPr>
        <w:t>, it shows that the shared e- in the polar covalent bond are actually spending most of their time closer to chlorine’s nucleus than hydrogen’s.</w:t>
      </w:r>
    </w:p>
    <w:p w:rsidR="00C00637" w:rsidRDefault="00C00637" w:rsidP="00C00637"/>
    <w:p w:rsidR="0042328E" w:rsidRDefault="00C00637" w:rsidP="00F44CEB">
      <w:r>
        <w:t>Electron density maps will be especially helpful in determining the polarity of molecules over all, rather than just bond polarity.</w:t>
      </w:r>
    </w:p>
    <w:p w:rsidR="006E354F" w:rsidRDefault="006E354F" w:rsidP="00F44CEB"/>
    <w:p w:rsidR="006E354F" w:rsidRDefault="006E354F" w:rsidP="006E354F">
      <w:r>
        <w:lastRenderedPageBreak/>
        <w:t xml:space="preserve">In the case of </w:t>
      </w:r>
      <w:r w:rsidRPr="006E354F">
        <w:rPr>
          <w:u w:val="single"/>
        </w:rPr>
        <w:t>non-polar covalent</w:t>
      </w:r>
      <w:r w:rsidRPr="006E354F">
        <w:t xml:space="preserve"> bonding</w:t>
      </w:r>
      <w:r>
        <w:t xml:space="preserve"> (</w:t>
      </w:r>
      <w:r w:rsidRPr="0042328E">
        <w:t xml:space="preserve">ΔEN = </w:t>
      </w:r>
      <w:r>
        <w:t>0-</w:t>
      </w:r>
      <w:r w:rsidRPr="0042328E">
        <w:t>0.3</w:t>
      </w:r>
      <w:r>
        <w:t>5</w:t>
      </w:r>
      <w:r w:rsidRPr="0042328E">
        <w:t>),</w:t>
      </w:r>
      <w:r>
        <w:t xml:space="preserve"> e- are shared evenly between the two atoms due to an equal (or nearly equal) EN. The e</w:t>
      </w:r>
      <w:r w:rsidRPr="006E354F">
        <w:rPr>
          <w:vertAlign w:val="superscript"/>
        </w:rPr>
        <w:t>-</w:t>
      </w:r>
      <w:r>
        <w:t xml:space="preserve"> </w:t>
      </w:r>
      <w:proofErr w:type="gramStart"/>
      <w:r>
        <w:t>are</w:t>
      </w:r>
      <w:proofErr w:type="gramEnd"/>
      <w:r>
        <w:t xml:space="preserve"> shared as neither atom has a strong enough EN to hog or steal the shared e</w:t>
      </w:r>
      <w:r w:rsidRPr="006E354F">
        <w:rPr>
          <w:vertAlign w:val="superscript"/>
        </w:rPr>
        <w:t>-</w:t>
      </w:r>
      <w:r>
        <w:t>.</w:t>
      </w:r>
    </w:p>
    <w:p w:rsidR="006E354F" w:rsidRDefault="006E354F" w:rsidP="006E354F">
      <w:r>
        <w:t>Even sharing results in no charges forming on either atom involved in the non-polar covalent bond.</w:t>
      </w:r>
    </w:p>
    <w:p w:rsidR="006E354F" w:rsidRDefault="006E354F" w:rsidP="006E354F">
      <w:r>
        <w:t>Ex: solid iodine (I</w:t>
      </w:r>
      <w:r w:rsidRPr="006E354F">
        <w:rPr>
          <w:vertAlign w:val="subscript"/>
        </w:rPr>
        <w:t>2</w:t>
      </w:r>
      <w:r>
        <w:t>)</w:t>
      </w:r>
    </w:p>
    <w:p w:rsidR="006E354F" w:rsidRDefault="006E354F" w:rsidP="006E354F">
      <w:pPr>
        <w:jc w:val="center"/>
      </w:pPr>
      <w:r>
        <w:rPr>
          <w:noProof/>
        </w:rPr>
        <w:drawing>
          <wp:inline distT="0" distB="0" distL="0" distR="0">
            <wp:extent cx="1900555" cy="1232535"/>
            <wp:effectExtent l="0" t="0" r="4445" b="5715"/>
            <wp:docPr id="10" name="Picture 10" descr="http://wiki.chemprime.chemeddl.org/images/thumb/d/d0/I2white.png/200px-I2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iki.chemprime.chemeddl.org/images/thumb/d/d0/I2white.png/200px-I2wh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9F" w:rsidRDefault="00B8049F" w:rsidP="006E354F">
      <w:pPr>
        <w:jc w:val="center"/>
        <w:rPr>
          <w:b/>
          <w:u w:val="single"/>
        </w:rPr>
      </w:pPr>
    </w:p>
    <w:p w:rsidR="00B8049F" w:rsidRPr="00B8049F" w:rsidRDefault="007E3442" w:rsidP="006E354F">
      <w:pPr>
        <w:jc w:val="center"/>
        <w:rPr>
          <w:b/>
          <w:u w:val="single"/>
        </w:rPr>
      </w:pPr>
      <w:r>
        <w:rPr>
          <w:b/>
          <w:u w:val="single"/>
        </w:rPr>
        <w:t xml:space="preserve">Common </w:t>
      </w:r>
      <w:r w:rsidR="00B8049F" w:rsidRPr="00B8049F">
        <w:rPr>
          <w:b/>
          <w:u w:val="single"/>
        </w:rPr>
        <w:t>Bond Summary</w:t>
      </w:r>
    </w:p>
    <w:p w:rsidR="006E354F" w:rsidRDefault="00B8049F" w:rsidP="00B8049F">
      <w:pPr>
        <w:jc w:val="center"/>
      </w:pPr>
      <w:r>
        <w:rPr>
          <w:noProof/>
        </w:rPr>
        <w:drawing>
          <wp:inline distT="0" distB="0" distL="0" distR="0" wp14:anchorId="5B081B97" wp14:editId="6117662A">
            <wp:extent cx="4166483" cy="1780433"/>
            <wp:effectExtent l="0" t="0" r="5715" b="0"/>
            <wp:docPr id="11" name="Picture 11" descr="http://epichem.wiki.hci.edu.sg/file/view/image001.jpg/20685503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pichem.wiki.hci.edu.sg/file/view/image001.jpg/206855034/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38" cy="17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42" w:rsidRDefault="007E3442" w:rsidP="007E3442">
      <w:pPr>
        <w:spacing w:after="120"/>
        <w:jc w:val="center"/>
      </w:pPr>
    </w:p>
    <w:p w:rsidR="007E3442" w:rsidRPr="007E3442" w:rsidRDefault="007E3442" w:rsidP="007E3442">
      <w:pPr>
        <w:spacing w:after="120"/>
        <w:jc w:val="center"/>
        <w:rPr>
          <w:b/>
          <w:sz w:val="28"/>
        </w:rPr>
      </w:pPr>
      <w:r w:rsidRPr="007E3442">
        <w:rPr>
          <w:b/>
          <w:sz w:val="28"/>
        </w:rPr>
        <w:lastRenderedPageBreak/>
        <w:t>Metallic Bonds</w:t>
      </w:r>
    </w:p>
    <w:p w:rsidR="007E3442" w:rsidRDefault="007E3442" w:rsidP="007E3442">
      <w:pPr>
        <w:spacing w:after="120"/>
      </w:pPr>
      <w:r>
        <w:t>Metallic bonding occurs between metal atoms. Instead of sharing or donating electrons, the valence electrons of metals create what is commonly referred to as a “sea of electrons” which are delocalized or not associated with any one atom/nucleus.</w:t>
      </w:r>
    </w:p>
    <w:p w:rsidR="007E3442" w:rsidRDefault="007E3442" w:rsidP="007E3442">
      <w:pPr>
        <w:spacing w:after="120"/>
      </w:pPr>
    </w:p>
    <w:p w:rsidR="007E3442" w:rsidRDefault="007E3442" w:rsidP="007E3442">
      <w:pPr>
        <w:spacing w:after="120"/>
        <w:jc w:val="center"/>
      </w:pPr>
      <w:r>
        <w:rPr>
          <w:noProof/>
        </w:rPr>
        <w:drawing>
          <wp:inline distT="0" distB="0" distL="0" distR="0" wp14:anchorId="076DF056" wp14:editId="1FA9BE7A">
            <wp:extent cx="4540250" cy="2830830"/>
            <wp:effectExtent l="0" t="0" r="0" b="7620"/>
            <wp:docPr id="12" name="Picture 12" descr="http://www.kentchemistry.com/images/links/bonding/Metalbon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entchemistry.com/images/links/bonding/Metalbond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42" w:rsidRDefault="007E3442" w:rsidP="007E3442">
      <w:pPr>
        <w:spacing w:after="120"/>
      </w:pPr>
    </w:p>
    <w:p w:rsidR="007E3442" w:rsidRDefault="007E3442" w:rsidP="007E3442">
      <w:pPr>
        <w:spacing w:after="120"/>
      </w:pPr>
      <w:r>
        <w:t>The delocalized electrons are responsible for many of the unique characteristics held by pure metals and metal alloys</w:t>
      </w:r>
    </w:p>
    <w:p w:rsidR="007E3442" w:rsidRDefault="007E3442" w:rsidP="007E3442">
      <w:pPr>
        <w:pStyle w:val="ListParagraph"/>
        <w:numPr>
          <w:ilvl w:val="0"/>
          <w:numId w:val="41"/>
        </w:numPr>
        <w:spacing w:after="120"/>
      </w:pPr>
      <w:r w:rsidRPr="007E3442">
        <w:rPr>
          <w:u w:val="single"/>
        </w:rPr>
        <w:t>Conductors:</w:t>
      </w:r>
      <w:r>
        <w:t xml:space="preserve"> delocalized electrons can “flow” in a certain direction through the matter, creating an electrical current</w:t>
      </w:r>
    </w:p>
    <w:p w:rsidR="007E3442" w:rsidRDefault="007E3442" w:rsidP="007E3442">
      <w:pPr>
        <w:pStyle w:val="ListParagraph"/>
        <w:numPr>
          <w:ilvl w:val="0"/>
          <w:numId w:val="41"/>
        </w:numPr>
        <w:spacing w:after="120"/>
      </w:pPr>
      <w:r w:rsidRPr="007E3442">
        <w:rPr>
          <w:u w:val="single"/>
        </w:rPr>
        <w:t>Malleable:</w:t>
      </w:r>
      <w:r>
        <w:t xml:space="preserve"> </w:t>
      </w:r>
      <w:r w:rsidRPr="007E3442">
        <w:rPr>
          <w:rFonts w:cs="Arial"/>
          <w:shd w:val="clear" w:color="auto" w:fill="F1F1F1"/>
        </w:rPr>
        <w:t>possible for the atoms to slide past each other when the metal is deformed instead of fracturing</w:t>
      </w:r>
    </w:p>
    <w:p w:rsidR="00B913C2" w:rsidRDefault="00A46DC0" w:rsidP="00B913C2">
      <w:pPr>
        <w:pStyle w:val="Heading3"/>
        <w:jc w:val="center"/>
      </w:pPr>
      <w:r>
        <w:lastRenderedPageBreak/>
        <w:t>Bond Character</w:t>
      </w:r>
    </w:p>
    <w:p w:rsidR="00B913C2" w:rsidRDefault="00B913C2" w:rsidP="00A46DC0">
      <w:pPr>
        <w:spacing w:after="120"/>
        <w:ind w:left="360" w:hanging="360"/>
      </w:pPr>
      <w:proofErr w:type="gramStart"/>
      <w:r w:rsidRPr="00250FC6">
        <w:rPr>
          <w:u w:val="single"/>
        </w:rPr>
        <w:t>bond</w:t>
      </w:r>
      <w:proofErr w:type="gramEnd"/>
      <w:r w:rsidRPr="00250FC6">
        <w:rPr>
          <w:u w:val="single"/>
        </w:rPr>
        <w:t xml:space="preserve"> character</w:t>
      </w:r>
      <w:r>
        <w:t xml:space="preserve">:  what a bond </w:t>
      </w:r>
      <w:r w:rsidRPr="00250FC6">
        <w:rPr>
          <w:i/>
        </w:rPr>
        <w:t>acts like</w:t>
      </w:r>
      <w:r>
        <w:t xml:space="preserve">, based on the difference between the </w:t>
      </w:r>
      <w:proofErr w:type="spellStart"/>
      <w:r>
        <w:t>e</w:t>
      </w:r>
      <w:r>
        <w:softHyphen/>
        <w:t>lec</w:t>
      </w:r>
      <w:r>
        <w:softHyphen/>
        <w:t>tro</w:t>
      </w:r>
      <w:r>
        <w:softHyphen/>
        <w:t>neg</w:t>
      </w:r>
      <w:r>
        <w:softHyphen/>
        <w:t>a</w:t>
      </w:r>
      <w:r>
        <w:softHyphen/>
        <w:t>tiv</w:t>
      </w:r>
      <w:r>
        <w:softHyphen/>
        <w:t>i</w:t>
      </w:r>
      <w:r>
        <w:softHyphen/>
        <w:t>ties</w:t>
      </w:r>
      <w:proofErr w:type="spellEnd"/>
      <w:r>
        <w:t xml:space="preserve"> (</w:t>
      </w:r>
      <w:r w:rsidRPr="005F4099">
        <w:rPr>
          <w:rFonts w:ascii="Times New Roman" w:hAnsi="Times New Roman"/>
        </w:rPr>
        <w:t>Δ</w:t>
      </w:r>
      <w:r w:rsidRPr="00D13A1D">
        <w:rPr>
          <w:rFonts w:ascii="Times New Roman" w:hAnsi="Times New Roman"/>
          <w:position w:val="6"/>
        </w:rPr>
        <w:t>χ</w:t>
      </w:r>
      <w:r>
        <w:t>) of the two elements.  The larger the difference, the greater the extent to which the electrons are associated with one element more than the other.</w:t>
      </w:r>
    </w:p>
    <w:p w:rsidR="00B913C2" w:rsidRDefault="00B913C2" w:rsidP="00B913C2">
      <w:pPr>
        <w:spacing w:after="0"/>
        <w:ind w:left="360"/>
      </w:pPr>
      <w:r>
        <w:t xml:space="preserve">Linus Pauling </w:t>
      </w:r>
      <w:r w:rsidR="00483E8A">
        <w:t xml:space="preserve">invented the concept of electronegativity, and </w:t>
      </w:r>
      <w:r>
        <w:t>developed a formula for calculating bond character based on the electronegativity difference.  According to Pauling, the ionic character of a bond is given by the formula:</w:t>
      </w:r>
    </w:p>
    <w:p w:rsidR="00B913C2" w:rsidRDefault="00087A86" w:rsidP="00A46DC0">
      <w:pPr>
        <w:spacing w:before="60" w:after="60"/>
        <w:ind w:left="360"/>
        <w:jc w:val="center"/>
      </w:pPr>
      <w:r w:rsidRPr="00FF7DFE">
        <w:rPr>
          <w:position w:val="-6"/>
        </w:rPr>
        <w:object w:dxaOrig="13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2pt" o:ole="">
            <v:imagedata r:id="rId16" o:title=""/>
          </v:shape>
          <o:OLEObject Type="Embed" ProgID="Equation.3" ShapeID="_x0000_i1025" DrawAspect="Content" ObjectID="_1484386498" r:id="rId17"/>
        </w:object>
      </w:r>
    </w:p>
    <w:p w:rsidR="00B913C2" w:rsidRDefault="00B913C2" w:rsidP="00A46DC0">
      <w:pPr>
        <w:spacing w:after="120"/>
        <w:ind w:left="360"/>
      </w:pPr>
      <w:proofErr w:type="gramStart"/>
      <w:r>
        <w:t>where</w:t>
      </w:r>
      <w:proofErr w:type="gramEnd"/>
      <w:r>
        <w:t xml:space="preserve"> </w:t>
      </w:r>
      <w:r w:rsidRPr="00D13A1D">
        <w:rPr>
          <w:i/>
        </w:rPr>
        <w:t>I</w:t>
      </w:r>
      <w:r>
        <w:t xml:space="preserve"> is the ionic character (expressed as a fraction, 0 ≤ I ≤ 1) and </w:t>
      </w:r>
      <w:r w:rsidRPr="005F4099">
        <w:rPr>
          <w:rFonts w:ascii="Times New Roman" w:hAnsi="Times New Roman"/>
        </w:rPr>
        <w:t>Δ</w:t>
      </w:r>
      <w:r w:rsidRPr="00D13A1D">
        <w:rPr>
          <w:rFonts w:ascii="Times New Roman" w:hAnsi="Times New Roman"/>
          <w:position w:val="6"/>
        </w:rPr>
        <w:t>χ</w:t>
      </w:r>
      <w:r>
        <w:t xml:space="preserve"> is the difference between the </w:t>
      </w:r>
      <w:proofErr w:type="spellStart"/>
      <w:r>
        <w:t>electronegativities</w:t>
      </w:r>
      <w:proofErr w:type="spellEnd"/>
      <w:r>
        <w:t xml:space="preserve"> of the two elements participating in the bond.  The following is a graph of Pauling’s formula:</w:t>
      </w:r>
    </w:p>
    <w:p w:rsidR="00B913C2" w:rsidRDefault="00F05F9C" w:rsidP="00A46DC0">
      <w:pPr>
        <w:spacing w:before="0" w:after="0"/>
        <w:ind w:left="547"/>
        <w:jc w:val="center"/>
      </w:pPr>
      <w:r>
        <w:rPr>
          <w:noProof/>
        </w:rPr>
        <w:drawing>
          <wp:inline distT="0" distB="0" distL="0" distR="0">
            <wp:extent cx="4174490" cy="2941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C0" w:rsidRDefault="00A46DC0" w:rsidP="00A46DC0">
      <w:pPr>
        <w:spacing w:before="240"/>
      </w:pPr>
      <w:r>
        <w:lastRenderedPageBreak/>
        <w:t>As a first approximation, Pauling’s formula can be used to predict bond character, based on the electronegativity difference: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371"/>
        <w:gridCol w:w="2149"/>
      </w:tblGrid>
      <w:tr w:rsidR="00A46DC0" w:rsidRPr="00A46DC0" w:rsidTr="00415981">
        <w:trPr>
          <w:jc w:val="center"/>
        </w:trPr>
        <w:tc>
          <w:tcPr>
            <w:tcW w:w="0" w:type="auto"/>
            <w:vAlign w:val="center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Electronegativity</w:t>
            </w:r>
            <w:r w:rsidRPr="00A46DC0">
              <w:rPr>
                <w:b/>
              </w:rPr>
              <w:br/>
              <w:t>Difference (</w:t>
            </w:r>
            <w:r w:rsidRPr="00A46DC0">
              <w:rPr>
                <w:rFonts w:ascii="Times New Roman" w:hAnsi="Times New Roman"/>
                <w:b/>
              </w:rPr>
              <w:t>Δ</w:t>
            </w:r>
            <w:r w:rsidRPr="00A46DC0">
              <w:rPr>
                <w:rFonts w:ascii="Times New Roman" w:hAnsi="Times New Roman"/>
                <w:b/>
                <w:position w:val="6"/>
              </w:rPr>
              <w:t>χ</w:t>
            </w:r>
            <w:r w:rsidRPr="00A46DC0">
              <w:rPr>
                <w:b/>
              </w:rPr>
              <w:t>)</w:t>
            </w:r>
          </w:p>
        </w:tc>
        <w:tc>
          <w:tcPr>
            <w:tcW w:w="0" w:type="auto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Ionic</w:t>
            </w:r>
            <w:r w:rsidRPr="00A46DC0">
              <w:rPr>
                <w:b/>
              </w:rPr>
              <w:br/>
              <w:t>Character</w:t>
            </w:r>
          </w:p>
        </w:tc>
        <w:tc>
          <w:tcPr>
            <w:tcW w:w="0" w:type="auto"/>
            <w:vAlign w:val="center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Bond</w:t>
            </w:r>
            <w:r w:rsidRPr="00A46DC0">
              <w:rPr>
                <w:b/>
              </w:rPr>
              <w:br/>
              <w:t>Character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0.35 or less (C—H)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&lt; 0.03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nonpolar covalent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between 0.35 and 1.7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0.03–0.5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polar covalent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1.7 or more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&gt; 0.5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ionic</w:t>
            </w:r>
          </w:p>
        </w:tc>
      </w:tr>
    </w:tbl>
    <w:p w:rsidR="00A46DC0" w:rsidRDefault="00A46DC0" w:rsidP="00A46DC0">
      <w:pPr>
        <w:spacing w:before="240"/>
      </w:pPr>
      <w:r>
        <w:t xml:space="preserve">Note that the value 0.35 for a “nonpolar” bond is somewhat arbitrary.  Chemists have observed that a C—H bond behaves as a nonpolar bond, so the C—H bond (3% ionic character and </w:t>
      </w:r>
      <w:r w:rsidRPr="005F4099">
        <w:rPr>
          <w:rFonts w:ascii="Times New Roman" w:hAnsi="Times New Roman"/>
        </w:rPr>
        <w:t>Δ</w:t>
      </w:r>
      <w:r w:rsidRPr="00D13A1D">
        <w:rPr>
          <w:rFonts w:ascii="Times New Roman" w:hAnsi="Times New Roman"/>
          <w:position w:val="6"/>
        </w:rPr>
        <w:t>χ</w:t>
      </w:r>
      <w:r>
        <w:t> = 0.35) is chosen to be the upper limit for a nonpolar bond.</w:t>
      </w:r>
    </w:p>
    <w:p w:rsidR="00D16740" w:rsidRDefault="00D16740" w:rsidP="00A46DC0">
      <w:pPr>
        <w:spacing w:before="240"/>
      </w:pPr>
    </w:p>
    <w:p w:rsidR="00D16740" w:rsidRDefault="00D16740" w:rsidP="00A46DC0">
      <w:pPr>
        <w:spacing w:before="240"/>
      </w:pPr>
      <w:r>
        <w:t xml:space="preserve">What is important to note, however, is that the only bond that has one true character is a perfectly non-polar covalent bond between two identical </w:t>
      </w:r>
      <w:proofErr w:type="gramStart"/>
      <w:r>
        <w:t>atoms.</w:t>
      </w:r>
      <w:proofErr w:type="gramEnd"/>
      <w:r>
        <w:t xml:space="preserve"> All other bonds are described based upon the type of bond they behave “more like”, or the one they share the most bond character with.</w:t>
      </w:r>
    </w:p>
    <w:p w:rsidR="00D16740" w:rsidRDefault="00D16740" w:rsidP="00A46DC0">
      <w:pPr>
        <w:spacing w:before="240"/>
      </w:pPr>
      <w:r>
        <w:t>All other bonds exhibit some ionic character, with no bonds being 100% ionic.</w:t>
      </w:r>
    </w:p>
    <w:p w:rsidR="00D16740" w:rsidRDefault="00D16740" w:rsidP="00A46DC0">
      <w:pPr>
        <w:spacing w:before="240"/>
      </w:pPr>
      <w:r>
        <w:tab/>
        <w:t xml:space="preserve">Ex: </w:t>
      </w:r>
      <w:r>
        <w:tab/>
        <w:t>Francium (0.7) &amp; Fluorine (4.0)</w:t>
      </w:r>
      <w:r>
        <w:tab/>
        <w:t>Carbon (2.5) &amp; Nitrogen (3.0)</w:t>
      </w:r>
    </w:p>
    <w:p w:rsidR="00D16740" w:rsidRDefault="00D16740" w:rsidP="00A46DC0">
      <w:pPr>
        <w:spacing w:before="240"/>
        <w:rPr>
          <w:vertAlign w:val="superscript"/>
        </w:rPr>
      </w:pPr>
      <w:r>
        <w:tab/>
      </w:r>
      <w:r>
        <w:tab/>
      </w:r>
      <w:r w:rsidRPr="00D16740">
        <w:rPr>
          <w:i/>
        </w:rPr>
        <w:t>I</w:t>
      </w:r>
      <w:r>
        <w:t xml:space="preserve"> = 1 – </w:t>
      </w:r>
      <w:r w:rsidRPr="00D16740">
        <w:rPr>
          <w:i/>
        </w:rPr>
        <w:t>e</w:t>
      </w:r>
      <w:r>
        <w:rPr>
          <w:i/>
        </w:rPr>
        <w:t xml:space="preserve"> </w:t>
      </w:r>
      <w:r w:rsidRPr="00D16740">
        <w:rPr>
          <w:vertAlign w:val="superscript"/>
        </w:rPr>
        <w:t>(-Δx^2/4)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810E1">
        <w:rPr>
          <w:i/>
        </w:rPr>
        <w:t>I</w:t>
      </w:r>
      <w:r>
        <w:t xml:space="preserve"> = 1 </w:t>
      </w:r>
      <w:r w:rsidR="00C810E1">
        <w:t>–</w:t>
      </w:r>
      <w:r>
        <w:t xml:space="preserve"> </w:t>
      </w:r>
      <w:r w:rsidRPr="00C810E1">
        <w:rPr>
          <w:i/>
        </w:rPr>
        <w:t>e</w:t>
      </w:r>
      <w:r w:rsidR="00C810E1">
        <w:rPr>
          <w:vertAlign w:val="superscript"/>
        </w:rPr>
        <w:t xml:space="preserve"> </w:t>
      </w:r>
      <w:r w:rsidRPr="00D16740">
        <w:rPr>
          <w:vertAlign w:val="superscript"/>
        </w:rPr>
        <w:t>(-Δx^2/4)</w:t>
      </w:r>
    </w:p>
    <w:p w:rsidR="00D16740" w:rsidRDefault="00D16740" w:rsidP="00A46DC0">
      <w:pPr>
        <w:spacing w:before="24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16740">
        <w:rPr>
          <w:i/>
        </w:rPr>
        <w:t>I</w:t>
      </w:r>
      <w:r>
        <w:t xml:space="preserve"> = 1 – </w:t>
      </w:r>
      <w:r w:rsidRPr="00D16740">
        <w:rPr>
          <w:i/>
        </w:rPr>
        <w:t>e</w:t>
      </w:r>
      <w:r>
        <w:rPr>
          <w:i/>
        </w:rPr>
        <w:t xml:space="preserve"> </w:t>
      </w:r>
      <w:r w:rsidRPr="00D16740">
        <w:rPr>
          <w:vertAlign w:val="superscript"/>
        </w:rPr>
        <w:t>(-</w:t>
      </w:r>
      <w:r>
        <w:rPr>
          <w:vertAlign w:val="superscript"/>
        </w:rPr>
        <w:t>(4.0-0.7)</w:t>
      </w:r>
      <w:r w:rsidRPr="00D16740">
        <w:rPr>
          <w:vertAlign w:val="superscript"/>
        </w:rPr>
        <w:t>^2/4)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810E1">
        <w:rPr>
          <w:i/>
        </w:rPr>
        <w:t>I</w:t>
      </w:r>
      <w:r>
        <w:t xml:space="preserve"> = 1 </w:t>
      </w:r>
      <w:r w:rsidR="00C810E1">
        <w:t>–</w:t>
      </w:r>
      <w:r>
        <w:t xml:space="preserve"> </w:t>
      </w:r>
      <w:r w:rsidRPr="00C810E1">
        <w:rPr>
          <w:i/>
        </w:rPr>
        <w:t>e</w:t>
      </w:r>
      <w:r w:rsidR="00C810E1">
        <w:rPr>
          <w:i/>
        </w:rPr>
        <w:t xml:space="preserve"> </w:t>
      </w:r>
      <w:r w:rsidRPr="00D16740">
        <w:rPr>
          <w:vertAlign w:val="superscript"/>
        </w:rPr>
        <w:t>(-</w:t>
      </w:r>
      <w:r>
        <w:rPr>
          <w:vertAlign w:val="superscript"/>
        </w:rPr>
        <w:t>(3.0-2.5)</w:t>
      </w:r>
      <w:r w:rsidRPr="00D16740">
        <w:rPr>
          <w:vertAlign w:val="superscript"/>
        </w:rPr>
        <w:t>^2/4)</w:t>
      </w:r>
    </w:p>
    <w:p w:rsidR="00D16740" w:rsidRDefault="00D16740" w:rsidP="00A46DC0">
      <w:pPr>
        <w:spacing w:before="24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16740">
        <w:rPr>
          <w:i/>
        </w:rPr>
        <w:t>I</w:t>
      </w:r>
      <w:r>
        <w:t xml:space="preserve"> = 1 – 0.065 = 93.4%</w:t>
      </w:r>
      <w:r>
        <w:tab/>
      </w:r>
      <w:r>
        <w:tab/>
      </w:r>
      <w:r w:rsidRPr="00C810E1">
        <w:rPr>
          <w:i/>
        </w:rPr>
        <w:t>I</w:t>
      </w:r>
      <w:r>
        <w:t xml:space="preserve"> = 1 </w:t>
      </w:r>
      <w:r w:rsidR="00C810E1">
        <w:t>–</w:t>
      </w:r>
      <w:r>
        <w:t xml:space="preserve"> </w:t>
      </w:r>
      <w:r w:rsidR="00C810E1">
        <w:t>0.939 = 6.1%</w:t>
      </w:r>
    </w:p>
    <w:p w:rsidR="00A46DC0" w:rsidRPr="00A46DC0" w:rsidRDefault="00A46DC0" w:rsidP="00765043">
      <w:pPr>
        <w:pStyle w:val="Heading2"/>
      </w:pPr>
      <w:r>
        <w:lastRenderedPageBreak/>
        <w:t>Bond Type</w:t>
      </w:r>
    </w:p>
    <w:p w:rsidR="00A46DC0" w:rsidRDefault="00A46DC0" w:rsidP="00483E8A">
      <w:pPr>
        <w:spacing w:after="120"/>
        <w:ind w:left="360" w:hanging="367"/>
      </w:pPr>
      <w:proofErr w:type="gramStart"/>
      <w:r w:rsidRPr="00250FC6">
        <w:rPr>
          <w:u w:val="single"/>
        </w:rPr>
        <w:t>bond</w:t>
      </w:r>
      <w:proofErr w:type="gramEnd"/>
      <w:r w:rsidRPr="00250FC6">
        <w:rPr>
          <w:u w:val="single"/>
        </w:rPr>
        <w:t xml:space="preserve"> type</w:t>
      </w:r>
      <w:r>
        <w:t>:  how a chemical bond actually behaves.  The bond type is affected by bond character</w:t>
      </w:r>
      <w:r w:rsidR="006B2CAE">
        <w:t xml:space="preserve"> (electronegativity difference)</w:t>
      </w:r>
      <w:r>
        <w:t xml:space="preserve">, but also by the </w:t>
      </w:r>
      <w:r w:rsidR="00483E8A">
        <w:t xml:space="preserve">nature of the </w:t>
      </w:r>
      <w:r>
        <w:t>materials themselves</w:t>
      </w:r>
      <w:r w:rsidR="006B2CAE">
        <w:t xml:space="preserve"> (electronegativity values)</w:t>
      </w:r>
      <w:r>
        <w:t xml:space="preserve">.  </w:t>
      </w:r>
      <w:r w:rsidR="006B2CAE">
        <w:t xml:space="preserve">In general, we </w:t>
      </w:r>
      <w:r>
        <w:t>consider three types of chemical bonds: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covalent bond</w:t>
      </w:r>
      <w:r>
        <w:t>:  between two nonmetals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ionic bond</w:t>
      </w:r>
      <w:r>
        <w:t>:  between a metal &amp; nonmetal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metallic bond</w:t>
      </w:r>
      <w:r w:rsidRPr="00D13A1D">
        <w:t>:</w:t>
      </w:r>
      <w:r>
        <w:t xml:space="preserve">  between two metals</w:t>
      </w:r>
    </w:p>
    <w:p w:rsidR="00483E8A" w:rsidRDefault="00483E8A" w:rsidP="00351464">
      <w:pPr>
        <w:spacing w:before="240" w:after="120"/>
      </w:pPr>
      <w:r>
        <w:t xml:space="preserve">In 1941, the Dutch chemist Anton van </w:t>
      </w:r>
      <w:proofErr w:type="spellStart"/>
      <w:r>
        <w:t>Arkel</w:t>
      </w:r>
      <w:proofErr w:type="spellEnd"/>
      <w:r>
        <w:t xml:space="preserve"> represented these three types of chemical bonds as </w:t>
      </w:r>
      <w:r w:rsidR="00351464">
        <w:t>the vertices of</w:t>
      </w:r>
      <w:r>
        <w:t xml:space="preserve"> a triangle:</w:t>
      </w:r>
    </w:p>
    <w:p w:rsidR="00483E8A" w:rsidRDefault="00F05F9C" w:rsidP="00351464">
      <w:pPr>
        <w:spacing w:after="120"/>
        <w:jc w:val="center"/>
      </w:pPr>
      <w:r>
        <w:rPr>
          <w:noProof/>
        </w:rPr>
        <w:drawing>
          <wp:inline distT="0" distB="0" distL="0" distR="0">
            <wp:extent cx="4102735" cy="2830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3C" w:rsidRDefault="00351464" w:rsidP="00351464">
      <w:pPr>
        <w:spacing w:after="120"/>
      </w:pPr>
      <w:proofErr w:type="gramStart"/>
      <w:r>
        <w:t>van</w:t>
      </w:r>
      <w:proofErr w:type="gramEnd"/>
      <w:r>
        <w:t xml:space="preserve"> </w:t>
      </w:r>
      <w:proofErr w:type="spellStart"/>
      <w:r>
        <w:t>Arkel</w:t>
      </w:r>
      <w:proofErr w:type="spellEnd"/>
      <w:r>
        <w:t xml:space="preserve"> claimed that the bond type of a binary compound could be predicted by the compound’s position on the </w:t>
      </w:r>
      <w:r w:rsidR="006B2CAE">
        <w:t xml:space="preserve">above </w:t>
      </w:r>
      <w:r>
        <w:t>triangle.</w:t>
      </w:r>
      <w:r w:rsidR="00483E8A">
        <w:br w:type="page"/>
      </w:r>
      <w:r w:rsidR="00E76AB9">
        <w:lastRenderedPageBreak/>
        <w:t xml:space="preserve">In the 1990s, several papers were published </w:t>
      </w:r>
      <w:r w:rsidR="008A4777">
        <w:t xml:space="preserve">describing </w:t>
      </w:r>
      <w:r w:rsidR="006B2CAE">
        <w:t xml:space="preserve">various </w:t>
      </w:r>
      <w:r w:rsidR="008A4777">
        <w:t>methods of</w:t>
      </w:r>
      <w:r w:rsidR="00E76AB9">
        <w:t xml:space="preserve"> quantify</w:t>
      </w:r>
      <w:r w:rsidR="008A4777">
        <w:t>ing</w:t>
      </w:r>
      <w:r w:rsidR="00E76AB9">
        <w:t xml:space="preserve"> the relationships in van </w:t>
      </w:r>
      <w:proofErr w:type="spellStart"/>
      <w:r w:rsidR="00E76AB9">
        <w:t>Arkel’s</w:t>
      </w:r>
      <w:proofErr w:type="spellEnd"/>
      <w:r w:rsidR="00E76AB9">
        <w:t xml:space="preserve"> triangle.  The following</w:t>
      </w:r>
      <w:r w:rsidR="008A4777">
        <w:t xml:space="preserve"> diagram, based on Pauling </w:t>
      </w:r>
      <w:proofErr w:type="spellStart"/>
      <w:r w:rsidR="008A4777">
        <w:t>electronegativities</w:t>
      </w:r>
      <w:proofErr w:type="spellEnd"/>
      <w:r w:rsidR="008A4777">
        <w:t xml:space="preserve">, </w:t>
      </w:r>
      <w:r w:rsidR="00E76AB9">
        <w:t>is from Dr. Ge</w:t>
      </w:r>
      <w:r w:rsidR="003B48B8">
        <w:t>orge Bo</w:t>
      </w:r>
      <w:r w:rsidR="00E76AB9">
        <w:t>ner at Purdue University:</w:t>
      </w:r>
    </w:p>
    <w:p w:rsidR="00483E8A" w:rsidRDefault="00F05F9C" w:rsidP="008A4777">
      <w:pPr>
        <w:spacing w:before="0" w:after="0"/>
        <w:jc w:val="center"/>
      </w:pPr>
      <w:r>
        <w:rPr>
          <w:noProof/>
        </w:rPr>
        <w:drawing>
          <wp:inline distT="0" distB="0" distL="0" distR="0">
            <wp:extent cx="4047490" cy="3514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7" w:rsidRDefault="00E76AB9" w:rsidP="008A4777">
      <w:pPr>
        <w:spacing w:after="120"/>
      </w:pPr>
      <w:r>
        <w:t>In this diagram, the horizontal axis (</w:t>
      </w:r>
      <w:r w:rsidR="006B2CAE" w:rsidRPr="006B2CAE">
        <w:rPr>
          <w:position w:val="-6"/>
        </w:rPr>
        <w:object w:dxaOrig="440" w:dyaOrig="340">
          <v:shape id="_x0000_i1026" type="#_x0000_t75" style="width:22pt;height:17pt" o:ole="">
            <v:imagedata r:id="rId21" o:title=""/>
          </v:shape>
          <o:OLEObject Type="Embed" ProgID="Equation.3" ShapeID="_x0000_i1026" DrawAspect="Content" ObjectID="_1484386499" r:id="rId22"/>
        </w:object>
      </w:r>
      <w:r>
        <w:t xml:space="preserve">) is the </w:t>
      </w:r>
      <w:r w:rsidRPr="006B2CAE">
        <w:rPr>
          <w:i/>
          <w:u w:val="single"/>
        </w:rPr>
        <w:t>averag</w:t>
      </w:r>
      <w:r w:rsidRPr="006B2CAE">
        <w:rPr>
          <w:i/>
          <w:spacing w:val="30"/>
          <w:u w:val="single"/>
        </w:rPr>
        <w:t>e</w:t>
      </w:r>
      <w:r>
        <w:t xml:space="preserve"> of the </w:t>
      </w:r>
      <w:proofErr w:type="spellStart"/>
      <w:r>
        <w:t>electronegat</w:t>
      </w:r>
      <w:bookmarkStart w:id="0" w:name="_GoBack"/>
      <w:bookmarkEnd w:id="0"/>
      <w:r>
        <w:t>ivities</w:t>
      </w:r>
      <w:proofErr w:type="spellEnd"/>
      <w:r>
        <w:t xml:space="preserve"> of the two elements in a binary compound.</w:t>
      </w:r>
    </w:p>
    <w:p w:rsidR="008A4777" w:rsidRDefault="006B2CAE" w:rsidP="008A4777">
      <w:pPr>
        <w:spacing w:after="120"/>
        <w:jc w:val="center"/>
      </w:pPr>
      <w:r w:rsidRPr="008A4777">
        <w:rPr>
          <w:position w:val="-24"/>
        </w:rPr>
        <w:object w:dxaOrig="2020" w:dyaOrig="620">
          <v:shape id="_x0000_i1027" type="#_x0000_t75" style="width:101pt;height:31.5pt" o:ole="">
            <v:imagedata r:id="rId23" o:title=""/>
          </v:shape>
          <o:OLEObject Type="Embed" ProgID="Equation.3" ShapeID="_x0000_i1027" DrawAspect="Content" ObjectID="_1484386500" r:id="rId24"/>
        </w:object>
      </w:r>
    </w:p>
    <w:p w:rsidR="00E76AB9" w:rsidRDefault="00E76AB9" w:rsidP="006B2CAE">
      <w:pPr>
        <w:spacing w:after="0"/>
      </w:pPr>
      <w:r>
        <w:t>The vertical axis (Δ</w:t>
      </w:r>
      <w:r w:rsidRPr="00E76AB9">
        <w:rPr>
          <w:i/>
        </w:rPr>
        <w:t>E</w:t>
      </w:r>
      <w:r w:rsidRPr="00E76AB9">
        <w:rPr>
          <w:i/>
          <w:spacing w:val="30"/>
        </w:rPr>
        <w:t>N</w:t>
      </w:r>
      <w:r>
        <w:t xml:space="preserve">) is the </w:t>
      </w:r>
      <w:r w:rsidR="000A622B" w:rsidRPr="006B2CAE">
        <w:rPr>
          <w:i/>
          <w:u w:val="single"/>
        </w:rPr>
        <w:t>differen</w:t>
      </w:r>
      <w:r w:rsidR="000A622B" w:rsidRPr="006B2CAE">
        <w:rPr>
          <w:i/>
          <w:spacing w:val="30"/>
          <w:u w:val="single"/>
        </w:rPr>
        <w:t>ce</w:t>
      </w:r>
      <w:r>
        <w:t xml:space="preserve"> between the two </w:t>
      </w:r>
      <w:proofErr w:type="spellStart"/>
      <w:r>
        <w:t>electronegativities</w:t>
      </w:r>
      <w:proofErr w:type="spellEnd"/>
      <w:r>
        <w:t>.</w:t>
      </w:r>
    </w:p>
    <w:p w:rsidR="008A4777" w:rsidRDefault="008A4777" w:rsidP="006B2CAE">
      <w:pPr>
        <w:spacing w:before="0" w:after="120"/>
        <w:jc w:val="center"/>
      </w:pPr>
      <w:r w:rsidRPr="008A4777">
        <w:rPr>
          <w:position w:val="-14"/>
        </w:rPr>
        <w:object w:dxaOrig="2340" w:dyaOrig="400">
          <v:shape id="_x0000_i1028" type="#_x0000_t75" style="width:117pt;height:20pt" o:ole="">
            <v:imagedata r:id="rId25" o:title=""/>
          </v:shape>
          <o:OLEObject Type="Embed" ProgID="Equation.3" ShapeID="_x0000_i1028" DrawAspect="Content" ObjectID="_1484386501" r:id="rId26"/>
        </w:object>
      </w:r>
    </w:p>
    <w:p w:rsidR="00351464" w:rsidRDefault="00351464" w:rsidP="00351464">
      <w:pPr>
        <w:pStyle w:val="Heading3"/>
      </w:pPr>
      <w:r>
        <w:lastRenderedPageBreak/>
        <w:t>Examples:</w:t>
      </w:r>
    </w:p>
    <w:p w:rsidR="00351464" w:rsidRDefault="00351464" w:rsidP="00351464">
      <w:pPr>
        <w:spacing w:after="120"/>
      </w:pPr>
      <w:r>
        <w:t xml:space="preserve">The compound </w:t>
      </w:r>
      <w:proofErr w:type="spellStart"/>
      <w:r>
        <w:t>MgO</w:t>
      </w:r>
      <w:proofErr w:type="spellEnd"/>
      <w:r>
        <w:t xml:space="preserve"> is made from magnesium (</w:t>
      </w:r>
      <w:r w:rsidRPr="00351464">
        <w:rPr>
          <w:rFonts w:ascii="Times New Roman" w:hAnsi="Times New Roman"/>
        </w:rPr>
        <w:t>χ</w:t>
      </w:r>
      <w:r>
        <w:t> = 1.31) and oxygen (</w:t>
      </w:r>
      <w:r w:rsidRPr="00351464">
        <w:rPr>
          <w:rFonts w:ascii="Times New Roman" w:hAnsi="Times New Roman"/>
        </w:rPr>
        <w:t>χ</w:t>
      </w:r>
      <w:r>
        <w:t> = 3.44).</w:t>
      </w:r>
    </w:p>
    <w:p w:rsidR="00351464" w:rsidRDefault="00351464" w:rsidP="00351464">
      <w:pPr>
        <w:spacing w:after="120"/>
        <w:jc w:val="center"/>
      </w:pPr>
      <w:r w:rsidRPr="00351464">
        <w:rPr>
          <w:position w:val="-46"/>
        </w:rPr>
        <w:object w:dxaOrig="4239" w:dyaOrig="1040">
          <v:shape id="_x0000_i1029" type="#_x0000_t75" style="width:212pt;height:52pt" o:ole="">
            <v:imagedata r:id="rId27" o:title=""/>
          </v:shape>
          <o:OLEObject Type="Embed" ProgID="Equation.3" ShapeID="_x0000_i1029" DrawAspect="Content" ObjectID="_1484386502" r:id="rId28"/>
        </w:object>
      </w:r>
    </w:p>
    <w:p w:rsidR="00351464" w:rsidRDefault="00351464" w:rsidP="00351464">
      <w:pPr>
        <w:spacing w:after="120"/>
      </w:pPr>
      <w:r>
        <w:t>The point (2.38, 2.13) on the graph on the preceding page falls within the “ionic” region, correctly predicting that magnesium oxide is an ionic compound.</w:t>
      </w:r>
    </w:p>
    <w:p w:rsidR="00351464" w:rsidRDefault="00351464" w:rsidP="00351464">
      <w:pPr>
        <w:spacing w:after="120"/>
      </w:pPr>
    </w:p>
    <w:p w:rsidR="00351464" w:rsidRDefault="00351464" w:rsidP="00351464">
      <w:pPr>
        <w:spacing w:after="120"/>
      </w:pPr>
      <w:r>
        <w:t>The compound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is made from phosphorus (</w:t>
      </w:r>
      <w:r w:rsidRPr="00351464">
        <w:rPr>
          <w:rFonts w:ascii="Times New Roman" w:hAnsi="Times New Roman"/>
        </w:rPr>
        <w:t>χ</w:t>
      </w:r>
      <w:r>
        <w:t> = 2.19) and oxygen (</w:t>
      </w:r>
      <w:r w:rsidRPr="00351464">
        <w:rPr>
          <w:rFonts w:ascii="Times New Roman" w:hAnsi="Times New Roman"/>
        </w:rPr>
        <w:t>χ</w:t>
      </w:r>
      <w:r>
        <w:t> = 3.44).</w:t>
      </w:r>
    </w:p>
    <w:p w:rsidR="00351464" w:rsidRDefault="00351464" w:rsidP="00351464">
      <w:pPr>
        <w:spacing w:after="120"/>
        <w:jc w:val="center"/>
      </w:pPr>
      <w:r w:rsidRPr="00351464">
        <w:rPr>
          <w:position w:val="-46"/>
        </w:rPr>
        <w:object w:dxaOrig="4300" w:dyaOrig="1040">
          <v:shape id="_x0000_i1030" type="#_x0000_t75" style="width:215pt;height:52pt" o:ole="">
            <v:imagedata r:id="rId29" o:title=""/>
          </v:shape>
          <o:OLEObject Type="Embed" ProgID="Equation.3" ShapeID="_x0000_i1030" DrawAspect="Content" ObjectID="_1484386503" r:id="rId30"/>
        </w:object>
      </w:r>
    </w:p>
    <w:p w:rsidR="00351464" w:rsidRDefault="00351464" w:rsidP="00351464">
      <w:pPr>
        <w:spacing w:after="120"/>
      </w:pPr>
      <w:r>
        <w:t>The point (2.82, 1.25) on the graph on the preceding page falls within the “covalent” region, correctly predicting that phosphorus pentoxide is a covalent compound.</w:t>
      </w:r>
    </w:p>
    <w:p w:rsidR="00351464" w:rsidRDefault="00351464" w:rsidP="00351464">
      <w:pPr>
        <w:spacing w:after="120"/>
      </w:pPr>
    </w:p>
    <w:p w:rsidR="001865CD" w:rsidRDefault="001865CD" w:rsidP="00351464">
      <w:pPr>
        <w:spacing w:after="120"/>
      </w:pPr>
    </w:p>
    <w:p w:rsidR="00DB7FDF" w:rsidRDefault="00DB7FDF" w:rsidP="00DB7FDF">
      <w:pPr>
        <w:pStyle w:val="ListParagraph"/>
        <w:numPr>
          <w:ilvl w:val="0"/>
          <w:numId w:val="42"/>
        </w:numPr>
        <w:spacing w:after="120"/>
      </w:pPr>
      <w:r>
        <w:t>Where is the polar vs non-polar covalent region of the triangle?</w:t>
      </w: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  <w:r>
        <w:lastRenderedPageBreak/>
        <w:t>Collectively, all of these types of bonds are categorized as intramolecular forces.</w:t>
      </w: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  <w:r>
        <w:t xml:space="preserve">Intramolecular forces are the forces which hold a molecule together. </w:t>
      </w:r>
    </w:p>
    <w:p w:rsidR="001865CD" w:rsidRDefault="001865CD" w:rsidP="001865CD">
      <w:pPr>
        <w:numPr>
          <w:ilvl w:val="0"/>
          <w:numId w:val="38"/>
        </w:numPr>
        <w:spacing w:after="120"/>
      </w:pPr>
      <w:r>
        <w:t>“intra” = with</w:t>
      </w:r>
      <w:r w:rsidRPr="001865CD">
        <w:rPr>
          <w:u w:val="single"/>
        </w:rPr>
        <w:t>in</w:t>
      </w:r>
    </w:p>
    <w:p w:rsidR="001865CD" w:rsidRDefault="001865CD" w:rsidP="001865CD">
      <w:pPr>
        <w:numPr>
          <w:ilvl w:val="0"/>
          <w:numId w:val="38"/>
        </w:numPr>
        <w:spacing w:after="120"/>
      </w:pPr>
      <w:r>
        <w:t>“intramolecular” = with</w:t>
      </w:r>
      <w:r w:rsidRPr="001865CD">
        <w:rPr>
          <w:u w:val="single"/>
        </w:rPr>
        <w:t>in</w:t>
      </w:r>
      <w:r>
        <w:t xml:space="preserve"> the molecule</w:t>
      </w:r>
    </w:p>
    <w:p w:rsidR="001865CD" w:rsidRDefault="001865CD" w:rsidP="001865CD">
      <w:pPr>
        <w:spacing w:after="120"/>
      </w:pPr>
    </w:p>
    <w:p w:rsidR="001865CD" w:rsidRDefault="001865CD" w:rsidP="001865CD">
      <w:pPr>
        <w:spacing w:after="120"/>
      </w:pPr>
      <w:r>
        <w:t>As we have seen, the strength of intramolecular forces, or bond strength, is represented by bond dissociation energies.</w:t>
      </w:r>
    </w:p>
    <w:p w:rsidR="00581465" w:rsidRDefault="00581465" w:rsidP="00581465">
      <w:pPr>
        <w:numPr>
          <w:ilvl w:val="0"/>
          <w:numId w:val="39"/>
        </w:numPr>
        <w:spacing w:after="120"/>
      </w:pPr>
      <w:r>
        <w:t>There is no general rule for the relative strength of intramolecular forces (ionic vs covalent bonds), as many ionic and covalent bonds have very similar dissociation energies.</w:t>
      </w:r>
    </w:p>
    <w:p w:rsidR="00581465" w:rsidRDefault="00581465" w:rsidP="00581465">
      <w:pPr>
        <w:numPr>
          <w:ilvl w:val="1"/>
          <w:numId w:val="39"/>
        </w:numPr>
        <w:spacing w:after="120"/>
      </w:pPr>
      <w:r>
        <w:t>Ionic bonds are often misconceived as the strongest bonds due to their high difference in electronegativity, but some of the strongest substances on Earth (like diamonds: network of C-C bonds) are covalently bound.</w:t>
      </w:r>
    </w:p>
    <w:p w:rsidR="00581465" w:rsidRDefault="00581465" w:rsidP="00581465">
      <w:pPr>
        <w:spacing w:after="120"/>
      </w:pPr>
    </w:p>
    <w:p w:rsidR="00581465" w:rsidRDefault="00581465" w:rsidP="00581465">
      <w:pPr>
        <w:spacing w:after="120"/>
      </w:pPr>
    </w:p>
    <w:p w:rsidR="001865CD" w:rsidRDefault="001865CD" w:rsidP="001865CD">
      <w:pPr>
        <w:spacing w:after="120"/>
      </w:pPr>
    </w:p>
    <w:p w:rsidR="001865CD" w:rsidRPr="00351464" w:rsidRDefault="001865CD" w:rsidP="001865CD">
      <w:pPr>
        <w:spacing w:after="120"/>
      </w:pPr>
      <w:r>
        <w:t xml:space="preserve">Any process which </w:t>
      </w:r>
      <w:r w:rsidR="00581465">
        <w:t>overcomes (breaks) intramolecular forces is a chemical reaction since bonds are being broken, which allows for atoms to rearrange and form new bonds.</w:t>
      </w:r>
    </w:p>
    <w:sectPr w:rsidR="001865CD" w:rsidRPr="00351464" w:rsidSect="00B57031">
      <w:headerReference w:type="default" r:id="rId31"/>
      <w:footerReference w:type="default" r:id="rId32"/>
      <w:headerReference w:type="first" r:id="rId33"/>
      <w:footerReference w:type="first" r:id="rId34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00" w:rsidRDefault="00B82F00">
      <w:r>
        <w:separator/>
      </w:r>
    </w:p>
  </w:endnote>
  <w:endnote w:type="continuationSeparator" w:id="0">
    <w:p w:rsidR="00B82F00" w:rsidRDefault="00B8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B82F00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fldChar w:fldCharType="begin"/>
    </w:r>
    <w:r>
      <w:instrText xml:space="preserve"> SUBJECT   \* MERGEFORMAT </w:instrText>
    </w:r>
    <w:r>
      <w:fldChar w:fldCharType="separate"/>
    </w:r>
    <w:r w:rsidR="00603FAA">
      <w:t>AP Chemistry</w:t>
    </w:r>
    <w:r>
      <w:fldChar w:fldCharType="end"/>
    </w:r>
    <w:r w:rsidR="00B90C21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0A622B">
      <w:rPr>
        <w:noProof/>
      </w:rPr>
      <w:t>12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0A622B">
      <w:rPr>
        <w:rStyle w:val="PageNumber"/>
        <w:noProof/>
      </w:rPr>
      <w:t>12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B82F00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603FAA">
      <w:t>AP Chemistry</w:t>
    </w:r>
    <w:r>
      <w:fldChar w:fldCharType="end"/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0A622B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0A622B">
      <w:rPr>
        <w:rStyle w:val="PageNumber"/>
        <w:noProof/>
      </w:rPr>
      <w:t>12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00" w:rsidRDefault="00B82F00">
      <w:r>
        <w:separator/>
      </w:r>
    </w:p>
  </w:footnote>
  <w:footnote w:type="continuationSeparator" w:id="0">
    <w:p w:rsidR="00B82F00" w:rsidRDefault="00B8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603FAA">
      <w:rPr>
        <w:sz w:val="32"/>
        <w:szCs w:val="32"/>
      </w:rPr>
      <w:t>Bond Polarity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00C"/>
    <w:multiLevelType w:val="hybridMultilevel"/>
    <w:tmpl w:val="3DCAF4B8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57E4E"/>
    <w:multiLevelType w:val="hybridMultilevel"/>
    <w:tmpl w:val="AB14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F2C6F"/>
    <w:multiLevelType w:val="hybridMultilevel"/>
    <w:tmpl w:val="908A9A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8F7A2F"/>
    <w:multiLevelType w:val="hybridMultilevel"/>
    <w:tmpl w:val="741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D41B7"/>
    <w:multiLevelType w:val="hybridMultilevel"/>
    <w:tmpl w:val="8A4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76458"/>
    <w:multiLevelType w:val="hybridMultilevel"/>
    <w:tmpl w:val="903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C5F88"/>
    <w:multiLevelType w:val="hybridMultilevel"/>
    <w:tmpl w:val="C83C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4"/>
  </w:num>
  <w:num w:numId="4">
    <w:abstractNumId w:val="11"/>
  </w:num>
  <w:num w:numId="5">
    <w:abstractNumId w:val="26"/>
  </w:num>
  <w:num w:numId="6">
    <w:abstractNumId w:val="31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1"/>
  </w:num>
  <w:num w:numId="20">
    <w:abstractNumId w:val="25"/>
  </w:num>
  <w:num w:numId="21">
    <w:abstractNumId w:val="27"/>
  </w:num>
  <w:num w:numId="22">
    <w:abstractNumId w:val="36"/>
  </w:num>
  <w:num w:numId="23">
    <w:abstractNumId w:val="14"/>
  </w:num>
  <w:num w:numId="24">
    <w:abstractNumId w:val="19"/>
  </w:num>
  <w:num w:numId="25">
    <w:abstractNumId w:val="16"/>
  </w:num>
  <w:num w:numId="26">
    <w:abstractNumId w:val="35"/>
  </w:num>
  <w:num w:numId="27">
    <w:abstractNumId w:val="13"/>
  </w:num>
  <w:num w:numId="28">
    <w:abstractNumId w:val="32"/>
  </w:num>
  <w:num w:numId="29">
    <w:abstractNumId w:val="15"/>
  </w:num>
  <w:num w:numId="30">
    <w:abstractNumId w:val="40"/>
  </w:num>
  <w:num w:numId="31">
    <w:abstractNumId w:val="37"/>
  </w:num>
  <w:num w:numId="32">
    <w:abstractNumId w:val="22"/>
  </w:num>
  <w:num w:numId="33">
    <w:abstractNumId w:val="28"/>
  </w:num>
  <w:num w:numId="34">
    <w:abstractNumId w:val="41"/>
  </w:num>
  <w:num w:numId="35">
    <w:abstractNumId w:val="34"/>
  </w:num>
  <w:num w:numId="36">
    <w:abstractNumId w:val="10"/>
  </w:num>
  <w:num w:numId="37">
    <w:abstractNumId w:val="17"/>
  </w:num>
  <w:num w:numId="38">
    <w:abstractNumId w:val="29"/>
  </w:num>
  <w:num w:numId="39">
    <w:abstractNumId w:val="30"/>
  </w:num>
  <w:num w:numId="40">
    <w:abstractNumId w:val="39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2"/>
    <w:rsid w:val="00017FE6"/>
    <w:rsid w:val="000369EC"/>
    <w:rsid w:val="00037868"/>
    <w:rsid w:val="0004427D"/>
    <w:rsid w:val="000611C8"/>
    <w:rsid w:val="00087A86"/>
    <w:rsid w:val="000A3464"/>
    <w:rsid w:val="000A622B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865CD"/>
    <w:rsid w:val="001935E3"/>
    <w:rsid w:val="00194151"/>
    <w:rsid w:val="001A1AB5"/>
    <w:rsid w:val="001A6F02"/>
    <w:rsid w:val="001B063B"/>
    <w:rsid w:val="001D59B5"/>
    <w:rsid w:val="001D78AB"/>
    <w:rsid w:val="001E6C80"/>
    <w:rsid w:val="00222E43"/>
    <w:rsid w:val="00225F68"/>
    <w:rsid w:val="00240F3E"/>
    <w:rsid w:val="002472BC"/>
    <w:rsid w:val="00250FC6"/>
    <w:rsid w:val="0026108F"/>
    <w:rsid w:val="00265739"/>
    <w:rsid w:val="00265D2E"/>
    <w:rsid w:val="00280BE8"/>
    <w:rsid w:val="00297E94"/>
    <w:rsid w:val="002A76D1"/>
    <w:rsid w:val="002B51E6"/>
    <w:rsid w:val="002C314A"/>
    <w:rsid w:val="002C66B4"/>
    <w:rsid w:val="002D233A"/>
    <w:rsid w:val="002D5587"/>
    <w:rsid w:val="002F71CD"/>
    <w:rsid w:val="0030567B"/>
    <w:rsid w:val="00310E81"/>
    <w:rsid w:val="0033359A"/>
    <w:rsid w:val="00340D20"/>
    <w:rsid w:val="00351464"/>
    <w:rsid w:val="0035692A"/>
    <w:rsid w:val="00373A70"/>
    <w:rsid w:val="00396149"/>
    <w:rsid w:val="003A4D55"/>
    <w:rsid w:val="003B48B8"/>
    <w:rsid w:val="003B5306"/>
    <w:rsid w:val="003D4F32"/>
    <w:rsid w:val="003F2863"/>
    <w:rsid w:val="004031CB"/>
    <w:rsid w:val="00404EC5"/>
    <w:rsid w:val="00415981"/>
    <w:rsid w:val="0042328E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83E8A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465"/>
    <w:rsid w:val="00581870"/>
    <w:rsid w:val="00583475"/>
    <w:rsid w:val="005853ED"/>
    <w:rsid w:val="00586419"/>
    <w:rsid w:val="0059126D"/>
    <w:rsid w:val="00592289"/>
    <w:rsid w:val="005A063E"/>
    <w:rsid w:val="005A5DF8"/>
    <w:rsid w:val="005B033D"/>
    <w:rsid w:val="005C7FFD"/>
    <w:rsid w:val="005D7D7A"/>
    <w:rsid w:val="005F35DF"/>
    <w:rsid w:val="005F4099"/>
    <w:rsid w:val="00600E7C"/>
    <w:rsid w:val="00603FAA"/>
    <w:rsid w:val="006143BA"/>
    <w:rsid w:val="006211A8"/>
    <w:rsid w:val="00623E7B"/>
    <w:rsid w:val="00630FED"/>
    <w:rsid w:val="00661DED"/>
    <w:rsid w:val="00665D13"/>
    <w:rsid w:val="00675907"/>
    <w:rsid w:val="00692044"/>
    <w:rsid w:val="006A4AC1"/>
    <w:rsid w:val="006A4BBD"/>
    <w:rsid w:val="006B1D75"/>
    <w:rsid w:val="006B2CAE"/>
    <w:rsid w:val="006B598A"/>
    <w:rsid w:val="006C1613"/>
    <w:rsid w:val="006C5F01"/>
    <w:rsid w:val="006D30AE"/>
    <w:rsid w:val="006E354F"/>
    <w:rsid w:val="006F5921"/>
    <w:rsid w:val="00704987"/>
    <w:rsid w:val="00732686"/>
    <w:rsid w:val="00753C14"/>
    <w:rsid w:val="0076182E"/>
    <w:rsid w:val="007622FE"/>
    <w:rsid w:val="00765043"/>
    <w:rsid w:val="00787096"/>
    <w:rsid w:val="007B0A15"/>
    <w:rsid w:val="007B1024"/>
    <w:rsid w:val="007B1681"/>
    <w:rsid w:val="007B55B9"/>
    <w:rsid w:val="007C37CD"/>
    <w:rsid w:val="007D003C"/>
    <w:rsid w:val="007E073D"/>
    <w:rsid w:val="007E3442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4777"/>
    <w:rsid w:val="008A7171"/>
    <w:rsid w:val="008B701D"/>
    <w:rsid w:val="008D2E2C"/>
    <w:rsid w:val="008E64AC"/>
    <w:rsid w:val="009156EA"/>
    <w:rsid w:val="00932343"/>
    <w:rsid w:val="00944B38"/>
    <w:rsid w:val="00954406"/>
    <w:rsid w:val="009548B9"/>
    <w:rsid w:val="00955686"/>
    <w:rsid w:val="00961A79"/>
    <w:rsid w:val="0097010B"/>
    <w:rsid w:val="0099506E"/>
    <w:rsid w:val="009A6E51"/>
    <w:rsid w:val="009B742F"/>
    <w:rsid w:val="009C5E14"/>
    <w:rsid w:val="009D1357"/>
    <w:rsid w:val="009D46A6"/>
    <w:rsid w:val="009F7CE5"/>
    <w:rsid w:val="00A12A36"/>
    <w:rsid w:val="00A22935"/>
    <w:rsid w:val="00A25FC1"/>
    <w:rsid w:val="00A26E5B"/>
    <w:rsid w:val="00A32DAC"/>
    <w:rsid w:val="00A45C07"/>
    <w:rsid w:val="00A46DC0"/>
    <w:rsid w:val="00A507A7"/>
    <w:rsid w:val="00A579C2"/>
    <w:rsid w:val="00A62828"/>
    <w:rsid w:val="00A62B06"/>
    <w:rsid w:val="00A67DFB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49F"/>
    <w:rsid w:val="00B80E63"/>
    <w:rsid w:val="00B82F00"/>
    <w:rsid w:val="00B90C21"/>
    <w:rsid w:val="00B913C2"/>
    <w:rsid w:val="00B96D0D"/>
    <w:rsid w:val="00BA4A3D"/>
    <w:rsid w:val="00BA6A5A"/>
    <w:rsid w:val="00BE7ED4"/>
    <w:rsid w:val="00C00637"/>
    <w:rsid w:val="00C0064C"/>
    <w:rsid w:val="00C02A14"/>
    <w:rsid w:val="00C02B5B"/>
    <w:rsid w:val="00C032FF"/>
    <w:rsid w:val="00C761B7"/>
    <w:rsid w:val="00C810E1"/>
    <w:rsid w:val="00CA7AF8"/>
    <w:rsid w:val="00CB1F4A"/>
    <w:rsid w:val="00CB5BFC"/>
    <w:rsid w:val="00CC1352"/>
    <w:rsid w:val="00CC1B33"/>
    <w:rsid w:val="00CC7CD4"/>
    <w:rsid w:val="00CD7F47"/>
    <w:rsid w:val="00D05CB1"/>
    <w:rsid w:val="00D13A1D"/>
    <w:rsid w:val="00D16740"/>
    <w:rsid w:val="00D22E56"/>
    <w:rsid w:val="00D251AE"/>
    <w:rsid w:val="00D34FC3"/>
    <w:rsid w:val="00D42696"/>
    <w:rsid w:val="00D43849"/>
    <w:rsid w:val="00D5133D"/>
    <w:rsid w:val="00D64661"/>
    <w:rsid w:val="00D73B76"/>
    <w:rsid w:val="00D80E95"/>
    <w:rsid w:val="00D931BE"/>
    <w:rsid w:val="00D9711C"/>
    <w:rsid w:val="00DA5771"/>
    <w:rsid w:val="00DB3D3E"/>
    <w:rsid w:val="00DB7FDF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5521"/>
    <w:rsid w:val="00E565FE"/>
    <w:rsid w:val="00E76AB9"/>
    <w:rsid w:val="00E81CBD"/>
    <w:rsid w:val="00E93E05"/>
    <w:rsid w:val="00E960E3"/>
    <w:rsid w:val="00EB6A83"/>
    <w:rsid w:val="00EB7A7B"/>
    <w:rsid w:val="00EC7717"/>
    <w:rsid w:val="00F05F9C"/>
    <w:rsid w:val="00F34C5B"/>
    <w:rsid w:val="00F44CE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0086"/>
    <w:rsid w:val="00FD3791"/>
    <w:rsid w:val="00FD5A6E"/>
    <w:rsid w:val="00FE0E7A"/>
    <w:rsid w:val="00FF763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76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76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3.wmf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AE6D-864A-449F-A21E-CEE3CB5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125</TotalTime>
  <Pages>12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Polarity</vt:lpstr>
    </vt:vector>
  </TitlesOfParts>
  <Company>Salem Academy Charter School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Polarity</dc:title>
  <dc:subject>AP Chemistry</dc:subject>
  <dc:creator>Mr. Bigler</dc:creator>
  <cp:lastModifiedBy>profile creator</cp:lastModifiedBy>
  <cp:revision>8</cp:revision>
  <cp:lastPrinted>2013-11-27T16:51:00Z</cp:lastPrinted>
  <dcterms:created xsi:type="dcterms:W3CDTF">2015-02-02T16:27:00Z</dcterms:created>
  <dcterms:modified xsi:type="dcterms:W3CDTF">2015-02-02T18:47:00Z</dcterms:modified>
  <cp:category>Intermolecular Forces</cp:category>
</cp:coreProperties>
</file>