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796F6C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8D2486">
        <w:t>Acid-Base Reactions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8C5A84">
        <w:rPr>
          <w:b/>
          <w:sz w:val="28"/>
          <w:szCs w:val="28"/>
        </w:rPr>
        <w:t xml:space="preserve"> 14A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85AC2">
        <w:t>Aqueous Reactions/Descriptive Chemistry</w:t>
      </w:r>
      <w:r w:rsidR="00B40B41">
        <w:t xml:space="preserve"> and Acids &amp; Bases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C85AC2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weak vs. strong acids &amp; bases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C85AC2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write neutralization reactions for acid-base reactions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C85AC2">
        <w:t>Notes</w:t>
      </w:r>
      <w:r>
        <w:t>:</w:t>
      </w:r>
    </w:p>
    <w:p w:rsidR="00C85AC2" w:rsidRDefault="00C85AC2" w:rsidP="0015006D">
      <w:pPr>
        <w:spacing w:after="60"/>
      </w:pPr>
      <w:r>
        <w:t xml:space="preserve">According to </w:t>
      </w:r>
      <w:proofErr w:type="spellStart"/>
      <w:r>
        <w:t>Svante</w:t>
      </w:r>
      <w:proofErr w:type="spellEnd"/>
      <w:r>
        <w:t xml:space="preserve"> Arrhenius’s definitions:</w:t>
      </w:r>
    </w:p>
    <w:p w:rsidR="00955686" w:rsidRDefault="00C85AC2" w:rsidP="0015006D">
      <w:pPr>
        <w:numPr>
          <w:ilvl w:val="0"/>
          <w:numId w:val="26"/>
        </w:numPr>
        <w:spacing w:before="60" w:after="60"/>
      </w:pPr>
      <w:r w:rsidRPr="00C85AC2">
        <w:rPr>
          <w:u w:val="single"/>
        </w:rPr>
        <w:t>acids</w:t>
      </w:r>
      <w:r>
        <w:t xml:space="preserve"> produce H</w:t>
      </w:r>
      <w:r>
        <w:rPr>
          <w:vertAlign w:val="superscript"/>
        </w:rPr>
        <w:t>+</w:t>
      </w:r>
      <w:r>
        <w:t xml:space="preserve"> ions in aqueous solutions</w:t>
      </w:r>
    </w:p>
    <w:p w:rsidR="00C85AC2" w:rsidRDefault="00C85AC2" w:rsidP="0015006D">
      <w:pPr>
        <w:numPr>
          <w:ilvl w:val="0"/>
          <w:numId w:val="26"/>
        </w:numPr>
        <w:spacing w:before="60" w:after="60"/>
      </w:pPr>
      <w:r w:rsidRPr="00C85AC2">
        <w:rPr>
          <w:u w:val="single"/>
        </w:rPr>
        <w:t>bases</w:t>
      </w:r>
      <w:r>
        <w:t xml:space="preserve"> produce OH</w:t>
      </w:r>
      <w:r>
        <w:rPr>
          <w:vertAlign w:val="superscript"/>
        </w:rPr>
        <w:t>−</w:t>
      </w:r>
      <w:r>
        <w:t xml:space="preserve"> ions in aqueous solutions</w:t>
      </w:r>
    </w:p>
    <w:p w:rsidR="008C5A84" w:rsidRDefault="008C5A84" w:rsidP="008C5A84">
      <w:pPr>
        <w:spacing w:before="240" w:after="120"/>
      </w:pPr>
      <w:r w:rsidRPr="008C5A84">
        <w:t>*Note that the difference between prod</w:t>
      </w:r>
      <w:r>
        <w:t xml:space="preserve">uce and donate. A compound does </w:t>
      </w:r>
      <w:r w:rsidRPr="008C5A84">
        <w:t>not have to donate H</w:t>
      </w:r>
      <w:r w:rsidRPr="008C5A84">
        <w:rPr>
          <w:vertAlign w:val="superscript"/>
        </w:rPr>
        <w:t>+</w:t>
      </w:r>
      <w:r w:rsidRPr="008C5A84">
        <w:t xml:space="preserve"> or OH</w:t>
      </w:r>
      <w:r w:rsidRPr="008C5A84">
        <w:rPr>
          <w:vertAlign w:val="superscript"/>
        </w:rPr>
        <w:t>-</w:t>
      </w:r>
      <w:r w:rsidRPr="008C5A84">
        <w:t xml:space="preserve"> ions into solution to be an acid or a </w:t>
      </w:r>
      <w:proofErr w:type="gramStart"/>
      <w:r w:rsidRPr="008C5A84">
        <w:t>base,</w:t>
      </w:r>
      <w:proofErr w:type="gramEnd"/>
      <w:r w:rsidRPr="008C5A84">
        <w:t xml:space="preserve"> it may also cause these ions to form via equilibrium reactions with water.</w:t>
      </w:r>
    </w:p>
    <w:p w:rsidR="008C5A84" w:rsidRPr="008C5A84" w:rsidRDefault="008C5A84" w:rsidP="008C5A84">
      <w:pPr>
        <w:spacing w:before="240" w:after="120"/>
        <w:ind w:left="720" w:firstLine="720"/>
      </w:pPr>
      <w:proofErr w:type="spellStart"/>
      <w:r>
        <w:t>NaOH</w:t>
      </w:r>
      <w:proofErr w:type="spellEnd"/>
      <w:r>
        <w:t xml:space="preserve"> </w:t>
      </w:r>
      <w:r>
        <w:rPr>
          <w:rFonts w:ascii="Times New Roman" w:hAnsi="Times New Roman"/>
        </w:rPr>
        <w:t xml:space="preserve">→ </w:t>
      </w:r>
      <w:r w:rsidRPr="008C5A84">
        <w:t>Na</w:t>
      </w:r>
      <w:r w:rsidRPr="008C5A84">
        <w:rPr>
          <w:vertAlign w:val="superscript"/>
        </w:rPr>
        <w:t>+</w:t>
      </w:r>
      <w:r w:rsidRPr="008C5A84">
        <w:t xml:space="preserve"> + OH</w:t>
      </w:r>
      <w:r w:rsidRPr="008C5A84"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C5A84">
        <w:t>vs</w:t>
      </w:r>
      <w:r>
        <w:tab/>
        <w:t xml:space="preserve">  NH</w:t>
      </w:r>
      <w:r w:rsidRPr="008C5A84">
        <w:rPr>
          <w:vertAlign w:val="subscript"/>
        </w:rPr>
        <w:t>3</w:t>
      </w:r>
      <w:r>
        <w:t xml:space="preserve"> +H</w:t>
      </w:r>
      <w:r w:rsidRPr="008C5A84">
        <w:rPr>
          <w:vertAlign w:val="subscript"/>
        </w:rPr>
        <w:t>2</w:t>
      </w:r>
      <w:r>
        <w:t xml:space="preserve">O </w:t>
      </w:r>
      <w:r>
        <w:rPr>
          <w:rFonts w:ascii="Royal Society of Chemistry" w:hAnsi="Royal Society of Chemistry"/>
          <w:noProof/>
        </w:rPr>
        <w:drawing>
          <wp:inline distT="0" distB="0" distL="0" distR="0" wp14:anchorId="27DC6B03" wp14:editId="4E0219A5">
            <wp:extent cx="203200" cy="127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NH</w:t>
      </w:r>
      <w:r w:rsidRPr="008C5A84">
        <w:rPr>
          <w:vertAlign w:val="subscript"/>
        </w:rPr>
        <w:t>4</w:t>
      </w:r>
      <w:r w:rsidRPr="008C5A84">
        <w:rPr>
          <w:vertAlign w:val="superscript"/>
        </w:rPr>
        <w:t>+</w:t>
      </w:r>
      <w:r>
        <w:t xml:space="preserve"> +OH</w:t>
      </w:r>
      <w:r w:rsidRPr="008C5A84">
        <w:rPr>
          <w:vertAlign w:val="superscript"/>
        </w:rPr>
        <w:t>-</w:t>
      </w: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567615" w:rsidRPr="0015006D" w:rsidRDefault="00567615" w:rsidP="006872AF">
      <w:pPr>
        <w:spacing w:before="240" w:after="120"/>
        <w:ind w:left="360" w:hanging="360"/>
      </w:pPr>
      <w:proofErr w:type="gramStart"/>
      <w:r>
        <w:rPr>
          <w:u w:val="single"/>
        </w:rPr>
        <w:t>titration</w:t>
      </w:r>
      <w:proofErr w:type="gramEnd"/>
      <w:r w:rsidRPr="00567615">
        <w:t>:</w:t>
      </w:r>
      <w:r w:rsidR="0015006D">
        <w:t xml:space="preserve"> measuring the volume of a standard solution used to neutralize a known volume of an unknown solution.  The concentration of the unknown solution can then be calculated using stoichiometry (the moles of standard solution added must equal the moles of H</w:t>
      </w:r>
      <w:r w:rsidR="0015006D">
        <w:rPr>
          <w:vertAlign w:val="superscript"/>
        </w:rPr>
        <w:t>+</w:t>
      </w:r>
      <w:r w:rsidR="0015006D">
        <w:t xml:space="preserve"> or OH</w:t>
      </w:r>
      <w:r w:rsidR="0015006D">
        <w:rPr>
          <w:vertAlign w:val="superscript"/>
        </w:rPr>
        <w:t>−</w:t>
      </w:r>
      <w:r w:rsidR="0015006D">
        <w:t xml:space="preserve"> neutralized).</w:t>
      </w: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6872AF" w:rsidRDefault="00C85AC2" w:rsidP="006872AF">
      <w:pPr>
        <w:spacing w:before="240" w:after="120"/>
        <w:ind w:left="360" w:hanging="360"/>
      </w:pPr>
      <w:proofErr w:type="gramStart"/>
      <w:r w:rsidRPr="00C85AC2">
        <w:rPr>
          <w:u w:val="single"/>
        </w:rPr>
        <w:lastRenderedPageBreak/>
        <w:t>strong</w:t>
      </w:r>
      <w:proofErr w:type="gramEnd"/>
      <w:r w:rsidRPr="00C85AC2">
        <w:rPr>
          <w:u w:val="single"/>
        </w:rPr>
        <w:t xml:space="preserve"> acid</w:t>
      </w:r>
      <w:r>
        <w:t xml:space="preserve">: an acid that ionizes completely in water.  </w:t>
      </w:r>
    </w:p>
    <w:p w:rsidR="008C5A84" w:rsidRDefault="008C5A84" w:rsidP="006872AF">
      <w:pPr>
        <w:spacing w:before="60" w:after="60"/>
        <w:ind w:left="360" w:hanging="360"/>
        <w:jc w:val="center"/>
      </w:pPr>
    </w:p>
    <w:p w:rsidR="006872AF" w:rsidRPr="006872AF" w:rsidRDefault="006872AF" w:rsidP="006872AF">
      <w:pPr>
        <w:spacing w:before="60" w:after="60"/>
        <w:ind w:left="360" w:hanging="360"/>
        <w:jc w:val="center"/>
      </w:pPr>
      <w:proofErr w:type="spellStart"/>
      <w:r w:rsidRPr="006872AF">
        <w:t>H</w:t>
      </w:r>
      <w:r>
        <w:t>Cl</w:t>
      </w:r>
      <w:proofErr w:type="spellEnd"/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rPr>
          <w:rFonts w:ascii="Times New Roman" w:hAnsi="Times New Roman"/>
        </w:rPr>
        <w:t>→</w:t>
      </w:r>
      <w:r w:rsidRPr="006872AF">
        <w:t xml:space="preserve"> 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</w:t>
      </w:r>
      <w:r>
        <w:t>Cl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8C5A84" w:rsidRDefault="008C5A84" w:rsidP="00845A74">
      <w:pPr>
        <w:ind w:left="360"/>
      </w:pPr>
    </w:p>
    <w:p w:rsidR="00845A74" w:rsidRPr="00C85AC2" w:rsidRDefault="00C85AC2" w:rsidP="00845A74">
      <w:pPr>
        <w:ind w:left="360"/>
      </w:pPr>
      <w:r>
        <w:t xml:space="preserve">Any acid with a negative </w:t>
      </w:r>
      <w:proofErr w:type="spellStart"/>
      <w:r w:rsidRPr="00C85AC2">
        <w:rPr>
          <w:i/>
        </w:rPr>
        <w:t>pK</w:t>
      </w:r>
      <w:r w:rsidRPr="00C85AC2">
        <w:rPr>
          <w:i/>
          <w:vertAlign w:val="subscript"/>
        </w:rPr>
        <w:t>a</w:t>
      </w:r>
      <w:proofErr w:type="spellEnd"/>
      <w:r>
        <w:t xml:space="preserve"> value (see reference table</w:t>
      </w:r>
      <w:r w:rsidR="008C5A84">
        <w:t xml:space="preserve"> in your textbook</w:t>
      </w:r>
      <w:r>
        <w:t xml:space="preserve">) is a strong acid.  Memorize the following strong acids:  </w:t>
      </w:r>
      <w:proofErr w:type="spellStart"/>
      <w:r>
        <w:t>HCl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HBr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HI</w:t>
          </w:r>
        </w:smartTag>
      </w:smartTag>
      <w:r>
        <w:t>, HNO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and HClO</w:t>
      </w:r>
      <w:r>
        <w:rPr>
          <w:vertAlign w:val="subscript"/>
        </w:rPr>
        <w:t>4</w:t>
      </w:r>
      <w:r>
        <w:t>.</w:t>
      </w:r>
    </w:p>
    <w:p w:rsidR="008C5A84" w:rsidRDefault="008C5A84" w:rsidP="006872AF">
      <w:pPr>
        <w:spacing w:after="120"/>
        <w:ind w:left="360" w:hanging="360"/>
        <w:rPr>
          <w:u w:val="single"/>
        </w:rPr>
      </w:pPr>
    </w:p>
    <w:p w:rsidR="006872AF" w:rsidRDefault="00C85AC2" w:rsidP="006872AF">
      <w:pPr>
        <w:spacing w:after="120"/>
        <w:ind w:left="360" w:hanging="360"/>
      </w:pPr>
      <w:r>
        <w:rPr>
          <w:u w:val="single"/>
        </w:rPr>
        <w:t>weak acid</w:t>
      </w:r>
      <w:r w:rsidRPr="00C85AC2">
        <w:t>:</w:t>
      </w:r>
      <w:r>
        <w:t xml:space="preserve"> an acid that ionizes only partially in water.</w:t>
      </w:r>
    </w:p>
    <w:p w:rsidR="008C5A84" w:rsidRDefault="008C5A84" w:rsidP="006872AF">
      <w:pPr>
        <w:spacing w:before="60" w:after="60"/>
        <w:ind w:left="360" w:hanging="360"/>
        <w:jc w:val="center"/>
      </w:pPr>
    </w:p>
    <w:p w:rsidR="006872AF" w:rsidRPr="006872AF" w:rsidRDefault="006872AF" w:rsidP="006872AF">
      <w:pPr>
        <w:spacing w:before="60" w:after="60"/>
        <w:ind w:left="360" w:hanging="360"/>
        <w:jc w:val="center"/>
      </w:pPr>
      <w:r w:rsidRPr="006872AF">
        <w:t>H</w:t>
      </w:r>
      <w:r>
        <w:t>F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</w:t>
      </w:r>
      <w:r>
        <w:t> F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8C5A84" w:rsidRDefault="008C5A84" w:rsidP="006872AF">
      <w:pPr>
        <w:ind w:left="360"/>
      </w:pPr>
    </w:p>
    <w:p w:rsidR="00C85AC2" w:rsidRDefault="00C85AC2" w:rsidP="006872AF">
      <w:pPr>
        <w:ind w:left="360"/>
      </w:pPr>
      <w:r>
        <w:t>Assume that any acid you will see on the AP Chemistry exam is a weak acid unless it is one of the strong acids listed above.</w:t>
      </w: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6872AF" w:rsidRDefault="00C85AC2" w:rsidP="006872AF">
      <w:pPr>
        <w:spacing w:before="240" w:after="120"/>
        <w:ind w:left="360" w:hanging="360"/>
      </w:pPr>
      <w:r>
        <w:rPr>
          <w:u w:val="single"/>
        </w:rPr>
        <w:lastRenderedPageBreak/>
        <w:t>strong base</w:t>
      </w:r>
      <w:r w:rsidRPr="00C85AC2">
        <w:t>:</w:t>
      </w:r>
      <w:r>
        <w:t xml:space="preserve"> a base that </w:t>
      </w:r>
      <w:r w:rsidR="006872AF">
        <w:t xml:space="preserve">ionizes completely in water. </w:t>
      </w:r>
    </w:p>
    <w:p w:rsidR="008C5A84" w:rsidRDefault="008C5A84" w:rsidP="006872AF">
      <w:pPr>
        <w:spacing w:before="60" w:after="60"/>
        <w:ind w:left="360" w:hanging="360"/>
        <w:jc w:val="center"/>
      </w:pPr>
    </w:p>
    <w:p w:rsidR="008C5A84" w:rsidRDefault="006872AF" w:rsidP="008C5A84">
      <w:pPr>
        <w:spacing w:before="60" w:after="60"/>
        <w:ind w:left="360" w:hanging="360"/>
        <w:contextualSpacing/>
        <w:jc w:val="center"/>
      </w:pPr>
      <w:proofErr w:type="spellStart"/>
      <w:r>
        <w:t>NaOH</w:t>
      </w:r>
      <w:proofErr w:type="spellEnd"/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rPr>
          <w:rFonts w:ascii="Times New Roman" w:hAnsi="Times New Roman"/>
        </w:rPr>
        <w:t>→</w:t>
      </w:r>
      <w:r w:rsidRPr="006872AF">
        <w:t xml:space="preserve"> </w:t>
      </w:r>
      <w:r>
        <w:t>Na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8C5A84" w:rsidRDefault="008C5A84" w:rsidP="006872AF">
      <w:pPr>
        <w:ind w:left="360"/>
      </w:pPr>
    </w:p>
    <w:p w:rsidR="008C5A84" w:rsidRDefault="00C85AC2" w:rsidP="006872AF">
      <w:pPr>
        <w:ind w:left="360"/>
      </w:pPr>
      <w:r>
        <w:t xml:space="preserve">Any base </w:t>
      </w:r>
      <w:r w:rsidR="00D34615">
        <w:t xml:space="preserve">whose conjugate acid has </w:t>
      </w:r>
      <w:r>
        <w:t xml:space="preserve">a </w:t>
      </w:r>
      <w:proofErr w:type="spellStart"/>
      <w:r w:rsidRPr="00C85AC2">
        <w:rPr>
          <w:i/>
        </w:rPr>
        <w:t>pK</w:t>
      </w:r>
      <w:r w:rsidRPr="00C85AC2">
        <w:rPr>
          <w:i/>
          <w:vertAlign w:val="subscript"/>
        </w:rPr>
        <w:t>a</w:t>
      </w:r>
      <w:proofErr w:type="spellEnd"/>
      <w:r>
        <w:t xml:space="preserve"> value greater than 14 is a strong base.  All soluble oxides and hydroxides of group I and group II metals are strong bases.  </w:t>
      </w:r>
    </w:p>
    <w:p w:rsidR="00FA60FB" w:rsidRDefault="00FA60FB" w:rsidP="006872AF">
      <w:pPr>
        <w:ind w:left="360"/>
      </w:pPr>
    </w:p>
    <w:p w:rsidR="00C85AC2" w:rsidRDefault="00C85AC2" w:rsidP="006872AF">
      <w:pPr>
        <w:ind w:left="360"/>
      </w:pPr>
      <w:r>
        <w:t>(</w:t>
      </w:r>
      <w:r w:rsidR="00845A74">
        <w:t>Except</w:t>
      </w:r>
      <w:r w:rsidR="004A11B5">
        <w:t xml:space="preserve"> that </w:t>
      </w:r>
      <w:r w:rsidR="00D34615">
        <w:t xml:space="preserve">aqueous </w:t>
      </w:r>
      <w:r>
        <w:t>Mg(OH)</w:t>
      </w:r>
      <w:r>
        <w:rPr>
          <w:vertAlign w:val="subscript"/>
        </w:rPr>
        <w:t>2</w:t>
      </w:r>
      <w:r>
        <w:t xml:space="preserve"> </w:t>
      </w:r>
      <w:r w:rsidR="00D34615" w:rsidRPr="00D34615">
        <w:rPr>
          <w:i/>
          <w:u w:val="single"/>
        </w:rPr>
        <w:t>acts</w:t>
      </w:r>
      <w:r w:rsidR="00D34615">
        <w:t xml:space="preserve"> like a weak base </w:t>
      </w:r>
      <w:r>
        <w:t>because it</w:t>
      </w:r>
      <w:r w:rsidR="00D34615">
        <w:t>s solubility is so low that the concentration of</w:t>
      </w:r>
      <w:r>
        <w:t xml:space="preserve"> OH</w:t>
      </w:r>
      <w:r>
        <w:rPr>
          <w:vertAlign w:val="superscript"/>
        </w:rPr>
        <w:t>−</w:t>
      </w:r>
      <w:r>
        <w:t xml:space="preserve"> ions in solution </w:t>
      </w:r>
      <w:r w:rsidR="00D34615">
        <w:t>is similar to that produced by a weak</w:t>
      </w:r>
      <w:r>
        <w:t xml:space="preserve"> base.)</w:t>
      </w:r>
    </w:p>
    <w:p w:rsidR="008C5A84" w:rsidRDefault="008C5A84" w:rsidP="00567615">
      <w:pPr>
        <w:spacing w:after="120"/>
        <w:ind w:left="360" w:hanging="360"/>
        <w:rPr>
          <w:u w:val="single"/>
        </w:rPr>
      </w:pPr>
    </w:p>
    <w:p w:rsidR="006872AF" w:rsidRDefault="00C85AC2" w:rsidP="00567615">
      <w:pPr>
        <w:spacing w:after="120"/>
        <w:ind w:left="360" w:hanging="360"/>
      </w:pPr>
      <w:r>
        <w:rPr>
          <w:u w:val="single"/>
        </w:rPr>
        <w:t>weak base</w:t>
      </w:r>
      <w:r w:rsidRPr="00C85AC2">
        <w:t>:</w:t>
      </w:r>
      <w:r>
        <w:t xml:space="preserve">  a base that io</w:t>
      </w:r>
      <w:r w:rsidR="006872AF">
        <w:t>nizes only partially in water.  Weak bases react with H</w:t>
      </w:r>
      <w:r w:rsidR="006872AF">
        <w:rPr>
          <w:vertAlign w:val="subscript"/>
        </w:rPr>
        <w:t>2</w:t>
      </w:r>
      <w:r w:rsidR="006872AF">
        <w:t xml:space="preserve">O, creating the conjugate acid and </w:t>
      </w:r>
      <w:r w:rsidR="006872AF" w:rsidRPr="006872AF">
        <w:t>OH</w:t>
      </w:r>
      <w:r w:rsidR="006872AF" w:rsidRPr="006872AF">
        <w:rPr>
          <w:vertAlign w:val="superscript"/>
        </w:rPr>
        <w:t>−</w:t>
      </w:r>
      <w:r w:rsidR="006872AF">
        <w:t>.</w:t>
      </w:r>
    </w:p>
    <w:p w:rsidR="00FA60FB" w:rsidRPr="006872AF" w:rsidRDefault="00FA60FB" w:rsidP="00567615">
      <w:pPr>
        <w:spacing w:after="120"/>
        <w:ind w:left="360" w:hanging="360"/>
      </w:pPr>
    </w:p>
    <w:p w:rsidR="006872AF" w:rsidRPr="006872AF" w:rsidRDefault="006872AF" w:rsidP="00567615">
      <w:pPr>
        <w:spacing w:after="120"/>
        <w:jc w:val="center"/>
      </w:pPr>
      <w:r>
        <w:t>NH</w:t>
      </w:r>
      <w:r>
        <w:rPr>
          <w:vertAlign w:val="subscript"/>
        </w:rPr>
        <w:t>3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t>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</w:t>
      </w:r>
      <w:r>
        <w:t>NH</w:t>
      </w:r>
      <w:r>
        <w:rPr>
          <w:vertAlign w:val="subscript"/>
        </w:rPr>
        <w:t>4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FA60FB" w:rsidRDefault="00FA60FB" w:rsidP="00567615">
      <w:pPr>
        <w:ind w:left="360"/>
      </w:pPr>
    </w:p>
    <w:p w:rsidR="00C85AC2" w:rsidRDefault="00C85AC2" w:rsidP="00567615">
      <w:pPr>
        <w:ind w:left="360"/>
      </w:pPr>
      <w:r>
        <w:t>Assume that any base you see on the AP Chemistry exam is a weak base unless it is one of the strong bases listed above.</w:t>
      </w:r>
    </w:p>
    <w:p w:rsidR="00FA60FB" w:rsidRDefault="00FA60FB" w:rsidP="00C85AC2"/>
    <w:p w:rsidR="00FA60FB" w:rsidRDefault="00FA60FB" w:rsidP="00C85AC2"/>
    <w:p w:rsidR="00FA60FB" w:rsidRPr="00FA60FB" w:rsidRDefault="00FA60FB" w:rsidP="00FA60FB">
      <w:pPr>
        <w:jc w:val="center"/>
        <w:rPr>
          <w:b/>
          <w:sz w:val="32"/>
        </w:rPr>
      </w:pPr>
      <w:r w:rsidRPr="00FA60FB">
        <w:rPr>
          <w:b/>
          <w:sz w:val="32"/>
        </w:rPr>
        <w:lastRenderedPageBreak/>
        <w:t>Ions in Solution</w:t>
      </w:r>
    </w:p>
    <w:p w:rsidR="00C85AC2" w:rsidRDefault="00D34615" w:rsidP="00C85AC2">
      <w:r>
        <w:t>Strong acids and bases are</w:t>
      </w:r>
      <w:r w:rsidR="00C2068B">
        <w:t xml:space="preserve"> strong electrolytes, meaning that they </w:t>
      </w:r>
      <w:r>
        <w:t xml:space="preserve">ionize to </w:t>
      </w:r>
      <w:r w:rsidR="00C2068B">
        <w:t>produce a large number of ions in water, and the resulting solution is a good conductor of electricity.</w:t>
      </w:r>
    </w:p>
    <w:p w:rsidR="00FA60FB" w:rsidRDefault="00C2068B" w:rsidP="00C85AC2">
      <w:r>
        <w:t xml:space="preserve">Weak acids and bases </w:t>
      </w:r>
      <w:r w:rsidR="00D34615">
        <w:t>ionize only partially.  This often means that</w:t>
      </w:r>
      <w:r>
        <w:t xml:space="preserve"> the resulting solution is a </w:t>
      </w:r>
      <w:r w:rsidR="00D34615">
        <w:t>weak electrolyte (</w:t>
      </w:r>
      <w:r>
        <w:t>poor conductor of electricity</w:t>
      </w:r>
      <w:r w:rsidR="00D34615">
        <w:t>)</w:t>
      </w:r>
      <w:r>
        <w:t>.</w:t>
      </w:r>
      <w:r w:rsidR="00D34615">
        <w:t xml:space="preserve">  </w:t>
      </w:r>
    </w:p>
    <w:p w:rsidR="00C2068B" w:rsidRDefault="00D34615" w:rsidP="00C85AC2">
      <w:r>
        <w:t xml:space="preserve">However, note that if the weak acid or base is itself an </w:t>
      </w:r>
      <w:proofErr w:type="spellStart"/>
      <w:r>
        <w:t>ion</w:t>
      </w:r>
      <w:proofErr w:type="spellEnd"/>
      <w:r>
        <w:t>, the solution will be a strong electrolyte regardless of the amount of dissociation of the acid or base.</w:t>
      </w:r>
    </w:p>
    <w:p w:rsidR="00FA60FB" w:rsidRDefault="00FA60FB" w:rsidP="00C85AC2"/>
    <w:p w:rsidR="00FA60FB" w:rsidRDefault="00FA60FB" w:rsidP="00C85AC2">
      <w:r>
        <w:tab/>
      </w:r>
      <w:r>
        <w:tab/>
        <w:t>H</w:t>
      </w:r>
      <w:r w:rsidRPr="00FA60FB">
        <w:rPr>
          <w:vertAlign w:val="subscript"/>
        </w:rPr>
        <w:t>2</w:t>
      </w:r>
      <w:r>
        <w:t>PO</w:t>
      </w:r>
      <w:r w:rsidRPr="00FA60FB">
        <w:rPr>
          <w:vertAlign w:val="subscript"/>
        </w:rPr>
        <w:t>4</w:t>
      </w:r>
      <w:r w:rsidRPr="00FA60FB"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>) + H</w:t>
      </w:r>
      <w:r w:rsidRPr="00FA60FB">
        <w:rPr>
          <w:vertAlign w:val="subscript"/>
        </w:rPr>
        <w:t>2</w:t>
      </w:r>
      <w:r>
        <w:t>O (l)</w:t>
      </w:r>
      <w:r>
        <w:rPr>
          <w:rFonts w:ascii="Royal Society of Chemistry" w:hAnsi="Royal Society of Chemistry"/>
          <w:noProof/>
        </w:rPr>
        <w:drawing>
          <wp:inline distT="0" distB="0" distL="0" distR="0" wp14:anchorId="27DC6B03" wp14:editId="4E0219A5">
            <wp:extent cx="203200" cy="127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HPO</w:t>
      </w:r>
      <w:r w:rsidRPr="00FA60FB">
        <w:rPr>
          <w:vertAlign w:val="subscript"/>
        </w:rPr>
        <w:t>4</w:t>
      </w:r>
      <w:r w:rsidRPr="00FA60FB">
        <w:rPr>
          <w:vertAlign w:val="superscript"/>
        </w:rPr>
        <w:t>2-</w:t>
      </w:r>
      <w:r>
        <w:t xml:space="preserve"> (</w:t>
      </w:r>
      <w:proofErr w:type="spellStart"/>
      <w:r>
        <w:t>aq</w:t>
      </w:r>
      <w:proofErr w:type="spellEnd"/>
      <w:r>
        <w:t>) + H</w:t>
      </w:r>
      <w:r w:rsidRPr="00FA60FB">
        <w:rPr>
          <w:vertAlign w:val="subscript"/>
        </w:rPr>
        <w:t>3</w:t>
      </w:r>
      <w:r>
        <w:t>O</w:t>
      </w:r>
      <w:r w:rsidRPr="00FA60FB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</w:p>
    <w:p w:rsidR="00C0603D" w:rsidRDefault="00C0603D" w:rsidP="00C0603D">
      <w:pPr>
        <w:pStyle w:val="Heading2"/>
      </w:pPr>
      <w:r>
        <w:br w:type="page"/>
      </w:r>
    </w:p>
    <w:p w:rsidR="00845A74" w:rsidRDefault="00845A74" w:rsidP="00BD53E9">
      <w:pPr>
        <w:spacing w:after="180"/>
      </w:pPr>
      <w:r>
        <w:lastRenderedPageBreak/>
        <w:t xml:space="preserve">Note that the ions </w:t>
      </w:r>
      <w:r w:rsidR="00D34615">
        <w:t xml:space="preserve">produced by the dissociation </w:t>
      </w:r>
      <w:r>
        <w:t>of strong acids and bases (</w:t>
      </w:r>
      <w:r w:rsidRPr="00845A74">
        <w:rPr>
          <w:i/>
        </w:rPr>
        <w:t>e.g.,</w:t>
      </w:r>
      <w:r>
        <w:t xml:space="preserve"> Li</w:t>
      </w:r>
      <w:r>
        <w:rPr>
          <w:vertAlign w:val="superscript"/>
        </w:rPr>
        <w:t>+</w:t>
      </w:r>
      <w:r>
        <w:t>,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>, Ca</w:t>
      </w:r>
      <w:r>
        <w:rPr>
          <w:vertAlign w:val="superscript"/>
        </w:rPr>
        <w:t>2+</w:t>
      </w:r>
      <w:r>
        <w:t>, Sr</w:t>
      </w:r>
      <w:r>
        <w:rPr>
          <w:vertAlign w:val="superscript"/>
        </w:rPr>
        <w:t>2+</w:t>
      </w:r>
      <w:r>
        <w:t>, Ba</w:t>
      </w:r>
      <w:r>
        <w:rPr>
          <w:vertAlign w:val="superscript"/>
        </w:rPr>
        <w:t>2+</w:t>
      </w:r>
      <w:r>
        <w:t>, Cl</w:t>
      </w:r>
      <w:r>
        <w:rPr>
          <w:vertAlign w:val="superscript"/>
        </w:rPr>
        <w:t>−</w:t>
      </w:r>
      <w:r>
        <w:t>, Br</w:t>
      </w:r>
      <w:r>
        <w:rPr>
          <w:vertAlign w:val="superscript"/>
        </w:rPr>
        <w:t>−</w:t>
      </w:r>
      <w:r>
        <w:t>, I</w:t>
      </w:r>
      <w:r>
        <w:rPr>
          <w:vertAlign w:val="superscript"/>
        </w:rPr>
        <w:t>−</w:t>
      </w:r>
      <w:r>
        <w:t>, NO</w:t>
      </w:r>
      <w:r>
        <w:rPr>
          <w:vertAlign w:val="subscript"/>
        </w:rPr>
        <w:t>3</w:t>
      </w:r>
      <w:r>
        <w:rPr>
          <w:vertAlign w:val="superscript"/>
        </w:rPr>
        <w:t>−</w:t>
      </w:r>
      <w:r>
        <w:t>, ClO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t>, SO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t>) act as spectator ions, because their conjugate acids &amp; bases do not form in aqueous solution.</w:t>
      </w:r>
      <w:r w:rsidR="00FA60FB">
        <w:t xml:space="preserve"> (Dissociation heavily favored)</w:t>
      </w:r>
    </w:p>
    <w:p w:rsidR="00FA60FB" w:rsidRDefault="00FA60FB" w:rsidP="00BD53E9">
      <w:pPr>
        <w:spacing w:after="180"/>
      </w:pPr>
    </w:p>
    <w:p w:rsidR="00C0603D" w:rsidRDefault="00845A74" w:rsidP="00BD53E9">
      <w:pPr>
        <w:spacing w:after="180"/>
      </w:pPr>
      <w:r>
        <w:t xml:space="preserve">Note, however, that anions </w:t>
      </w:r>
      <w:r w:rsidR="00190BF0">
        <w:t>whose</w:t>
      </w:r>
      <w:r>
        <w:t xml:space="preserve"> conjugates </w:t>
      </w:r>
      <w:r w:rsidR="00190BF0">
        <w:t>are</w:t>
      </w:r>
      <w:r>
        <w:t xml:space="preserve"> weak acids (</w:t>
      </w:r>
      <w:r w:rsidRPr="00845A74">
        <w:rPr>
          <w:i/>
        </w:rPr>
        <w:t>e.g.,</w:t>
      </w:r>
      <w:r>
        <w:t xml:space="preserve"> F</w:t>
      </w:r>
      <w:r>
        <w:rPr>
          <w:vertAlign w:val="superscript"/>
        </w:rPr>
        <w:t>−</w:t>
      </w:r>
      <w:r>
        <w:t>,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−</w:t>
      </w:r>
      <w:r>
        <w:t>, CO</w:t>
      </w:r>
      <w:r>
        <w:rPr>
          <w:vertAlign w:val="subscript"/>
        </w:rPr>
        <w:t>3</w:t>
      </w:r>
      <w:r>
        <w:rPr>
          <w:vertAlign w:val="superscript"/>
        </w:rPr>
        <w:t>2−</w:t>
      </w:r>
      <w:r>
        <w:t>, PO</w:t>
      </w:r>
      <w:r>
        <w:rPr>
          <w:vertAlign w:val="subscript"/>
        </w:rPr>
        <w:t>4</w:t>
      </w:r>
      <w:r>
        <w:rPr>
          <w:vertAlign w:val="superscript"/>
        </w:rPr>
        <w:t>3−</w:t>
      </w:r>
      <w:r>
        <w:t xml:space="preserve">, </w:t>
      </w:r>
      <w:r w:rsidRPr="00845A74">
        <w:rPr>
          <w:i/>
        </w:rPr>
        <w:t>etc.</w:t>
      </w:r>
      <w:r>
        <w:t xml:space="preserve">) are basic.  Similarly, </w:t>
      </w:r>
      <w:proofErr w:type="spellStart"/>
      <w:r>
        <w:t>cations</w:t>
      </w:r>
      <w:proofErr w:type="spellEnd"/>
      <w:r>
        <w:t xml:space="preserve"> </w:t>
      </w:r>
      <w:r w:rsidR="00190BF0">
        <w:t xml:space="preserve">whose </w:t>
      </w:r>
      <w:r>
        <w:t xml:space="preserve">conjugates </w:t>
      </w:r>
      <w:r w:rsidR="00190BF0">
        <w:t>are</w:t>
      </w:r>
      <w:r>
        <w:t xml:space="preserve"> weak bases (</w:t>
      </w:r>
      <w:r w:rsidRPr="00845A74">
        <w:rPr>
          <w:i/>
        </w:rPr>
        <w:t>e.g.,</w:t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="00BD53E9">
        <w:t>)</w:t>
      </w:r>
      <w:r w:rsidR="00190BF0">
        <w:t xml:space="preserve"> are acidic in solution.  Note also that</w:t>
      </w:r>
      <w:r w:rsidR="00BD53E9">
        <w:t xml:space="preserve"> </w:t>
      </w:r>
      <w:proofErr w:type="spellStart"/>
      <w:r w:rsidR="00BD53E9">
        <w:t>cations</w:t>
      </w:r>
      <w:proofErr w:type="spellEnd"/>
      <w:r w:rsidR="00BD53E9">
        <w:t xml:space="preserve"> whose hydroxides are insoluble are </w:t>
      </w:r>
      <w:r>
        <w:t>acidic</w:t>
      </w:r>
      <w:r w:rsidR="00BD53E9">
        <w:t xml:space="preserve"> in solution</w:t>
      </w:r>
      <w:r w:rsidR="00190BF0">
        <w:t xml:space="preserve"> </w:t>
      </w:r>
      <w:r w:rsidR="00BD53E9">
        <w:t>because they remove OH</w:t>
      </w:r>
      <w:r w:rsidR="00BD53E9">
        <w:rPr>
          <w:vertAlign w:val="superscript"/>
        </w:rPr>
        <w:t>−</w:t>
      </w:r>
      <w:r w:rsidR="00190BF0">
        <w:t xml:space="preserve"> from solution</w:t>
      </w:r>
      <w:r w:rsidR="00BD53E9">
        <w:t>.</w:t>
      </w:r>
    </w:p>
    <w:p w:rsidR="00FA60FB" w:rsidRDefault="00FA60FB" w:rsidP="00BD53E9">
      <w:pPr>
        <w:spacing w:after="180"/>
      </w:pPr>
    </w:p>
    <w:p w:rsidR="00FA60FB" w:rsidRDefault="00C0603D" w:rsidP="00FA60FB">
      <w:pPr>
        <w:spacing w:after="180"/>
      </w:pPr>
      <w:r>
        <w:t xml:space="preserve">Thus, </w:t>
      </w:r>
      <w:r w:rsidR="00FA60FB">
        <w:t xml:space="preserve">salts formed from weak acid or base reactions will influence the final pH of the solution. </w:t>
      </w:r>
    </w:p>
    <w:p w:rsidR="00FA60FB" w:rsidRDefault="00FA60FB" w:rsidP="00FA60FB">
      <w:pPr>
        <w:pStyle w:val="ListParagraph"/>
        <w:numPr>
          <w:ilvl w:val="0"/>
          <w:numId w:val="39"/>
        </w:numPr>
        <w:spacing w:after="180"/>
      </w:pPr>
      <w:r>
        <w:t>A</w:t>
      </w:r>
      <w:r w:rsidR="00C0603D">
        <w:t xml:space="preserve"> salt that is comprised of an acidic cation (such as NH</w:t>
      </w:r>
      <w:r w:rsidR="00C0603D" w:rsidRPr="00FA60FB">
        <w:rPr>
          <w:vertAlign w:val="subscript"/>
        </w:rPr>
        <w:t>4</w:t>
      </w:r>
      <w:r w:rsidR="00C0603D" w:rsidRPr="00FA60FB">
        <w:rPr>
          <w:vertAlign w:val="superscript"/>
        </w:rPr>
        <w:t>+</w:t>
      </w:r>
      <w:r w:rsidR="00C0603D">
        <w:t>) and a spectator anion (such as Cl</w:t>
      </w:r>
      <w:r w:rsidR="00C0603D" w:rsidRPr="00FA60FB">
        <w:rPr>
          <w:vertAlign w:val="superscript"/>
        </w:rPr>
        <w:t>−</w:t>
      </w:r>
      <w:r w:rsidR="00C0603D">
        <w:t xml:space="preserve">) will be acidic in solution.  </w:t>
      </w:r>
    </w:p>
    <w:p w:rsidR="00FA60FB" w:rsidRDefault="00FA60FB" w:rsidP="00FA60FB">
      <w:pPr>
        <w:pStyle w:val="ListParagraph"/>
        <w:spacing w:after="180"/>
        <w:ind w:left="1440"/>
      </w:pPr>
    </w:p>
    <w:p w:rsidR="00FA60FB" w:rsidRDefault="00C0603D" w:rsidP="00FA60FB">
      <w:pPr>
        <w:pStyle w:val="ListParagraph"/>
        <w:numPr>
          <w:ilvl w:val="0"/>
          <w:numId w:val="39"/>
        </w:numPr>
        <w:spacing w:after="180"/>
      </w:pPr>
      <w:r>
        <w:t>A salt that is comprised of a spectator cation (such as Na</w:t>
      </w:r>
      <w:r w:rsidRPr="00FA60FB">
        <w:rPr>
          <w:vertAlign w:val="superscript"/>
        </w:rPr>
        <w:t>+</w:t>
      </w:r>
      <w:r>
        <w:t>) and a basic anion (such as CO</w:t>
      </w:r>
      <w:r w:rsidRPr="00FA60FB">
        <w:rPr>
          <w:vertAlign w:val="subscript"/>
        </w:rPr>
        <w:t>3</w:t>
      </w:r>
      <w:r w:rsidRPr="00FA60FB">
        <w:rPr>
          <w:vertAlign w:val="superscript"/>
        </w:rPr>
        <w:t>2−</w:t>
      </w:r>
      <w:r>
        <w:t>) will be basic in solution.</w:t>
      </w:r>
    </w:p>
    <w:p w:rsidR="006A2CF1" w:rsidRDefault="006A2CF1" w:rsidP="006A2CF1">
      <w:pPr>
        <w:pStyle w:val="ListParagraph"/>
      </w:pPr>
    </w:p>
    <w:p w:rsidR="006A2CF1" w:rsidRDefault="006A2CF1" w:rsidP="006A2CF1">
      <w:pPr>
        <w:pStyle w:val="ListParagraph"/>
        <w:numPr>
          <w:ilvl w:val="0"/>
          <w:numId w:val="39"/>
        </w:numPr>
        <w:spacing w:after="180"/>
      </w:pPr>
      <w:r>
        <w:t xml:space="preserve">A cation resulting in an insoluble hydroxide salt will be </w:t>
      </w:r>
      <w:r>
        <w:t>acidic</w:t>
      </w:r>
      <w:bookmarkStart w:id="0" w:name="_GoBack"/>
      <w:bookmarkEnd w:id="0"/>
      <w:r>
        <w:t xml:space="preserve"> in solution.</w:t>
      </w:r>
    </w:p>
    <w:p w:rsidR="006A2CF1" w:rsidRDefault="006A2CF1" w:rsidP="006A2CF1">
      <w:pPr>
        <w:pStyle w:val="ListParagraph"/>
        <w:spacing w:after="180"/>
        <w:ind w:left="1440"/>
      </w:pPr>
    </w:p>
    <w:p w:rsidR="00FA60FB" w:rsidRDefault="00FA60FB" w:rsidP="00FA60FB">
      <w:pPr>
        <w:spacing w:after="180"/>
      </w:pPr>
    </w:p>
    <w:p w:rsidR="00FA60FB" w:rsidRDefault="00FA60FB" w:rsidP="00FA60FB">
      <w:pPr>
        <w:spacing w:after="180"/>
      </w:pPr>
    </w:p>
    <w:p w:rsidR="00FA60FB" w:rsidRDefault="00FA60FB" w:rsidP="00FA60FB">
      <w:pPr>
        <w:spacing w:after="180"/>
      </w:pPr>
    </w:p>
    <w:p w:rsidR="00FA60FB" w:rsidRDefault="00FA60FB" w:rsidP="00FA60FB">
      <w:pPr>
        <w:spacing w:after="180"/>
      </w:pPr>
    </w:p>
    <w:p w:rsidR="00FA60FB" w:rsidRDefault="00FA60FB" w:rsidP="00FA60FB">
      <w:pPr>
        <w:spacing w:after="180"/>
      </w:pPr>
    </w:p>
    <w:p w:rsidR="00C2068B" w:rsidRPr="00FA60FB" w:rsidRDefault="00C2068B" w:rsidP="00FA60FB">
      <w:pPr>
        <w:spacing w:after="180"/>
        <w:jc w:val="center"/>
        <w:rPr>
          <w:b/>
          <w:sz w:val="32"/>
        </w:rPr>
      </w:pPr>
      <w:r w:rsidRPr="00FA60FB">
        <w:rPr>
          <w:b/>
          <w:sz w:val="32"/>
        </w:rPr>
        <w:t>Acid-Base Reactions</w:t>
      </w:r>
    </w:p>
    <w:p w:rsidR="00C2068B" w:rsidRDefault="00C2068B" w:rsidP="00C2068B">
      <w:pPr>
        <w:pStyle w:val="Heading3"/>
      </w:pPr>
      <w:r>
        <w:t>Strong Acid/Strong Base</w:t>
      </w:r>
    </w:p>
    <w:p w:rsidR="00C2068B" w:rsidRDefault="00C2068B" w:rsidP="00BD53E9">
      <w:pPr>
        <w:spacing w:after="120"/>
      </w:pPr>
      <w:r>
        <w:t>Because strong acids hydrolyze completely in water, the net ionic reaction for any strong acid/strong base reaction is:</w:t>
      </w:r>
    </w:p>
    <w:p w:rsidR="00C2068B" w:rsidRDefault="00C2068B" w:rsidP="00C2068B">
      <w:pPr>
        <w:jc w:val="center"/>
      </w:pPr>
      <w:r>
        <w:t>H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 w:rsidR="004A11B5">
        <w:rPr>
          <w:rFonts w:ascii="Times New Roman" w:hAnsi="Times New Roman"/>
        </w:rPr>
        <w:t>→</w:t>
      </w:r>
      <w:r>
        <w:t xml:space="preserve"> 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C2068B" w:rsidRDefault="00C2068B" w:rsidP="004A11B5">
      <w:pPr>
        <w:spacing w:after="120"/>
      </w:pPr>
      <w:r>
        <w:t xml:space="preserve">If you write out the detailed ionic equation, </w:t>
      </w:r>
      <w:r w:rsidR="006872AF">
        <w:t>you will see that all</w:t>
      </w:r>
      <w:r>
        <w:t xml:space="preserve"> </w:t>
      </w:r>
      <w:r w:rsidR="007B3C7F">
        <w:t xml:space="preserve">of the </w:t>
      </w:r>
      <w:r>
        <w:t xml:space="preserve">other ions are spectators, as in the </w:t>
      </w:r>
      <w:r w:rsidR="007B3C7F">
        <w:t xml:space="preserve">following </w:t>
      </w:r>
      <w:r>
        <w:t>example:</w:t>
      </w:r>
    </w:p>
    <w:p w:rsidR="00C2068B" w:rsidRDefault="00C2068B" w:rsidP="007B3C7F">
      <w:pPr>
        <w:spacing w:before="60" w:after="60"/>
        <w:jc w:val="center"/>
      </w:pPr>
      <w:r>
        <w:t>HNO</w:t>
      </w:r>
      <w:r>
        <w:rPr>
          <w:vertAlign w:val="subscript"/>
        </w:rPr>
        <w:t>3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</w:t>
      </w:r>
      <w:proofErr w:type="spellStart"/>
      <w:r>
        <w:t>NaOH</w:t>
      </w:r>
      <w:proofErr w:type="spellEnd"/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 w:rsidR="004A11B5">
        <w:rPr>
          <w:rFonts w:ascii="Times New Roman" w:hAnsi="Times New Roman"/>
        </w:rPr>
        <w:t>→</w:t>
      </w:r>
      <w:r>
        <w:t xml:space="preserve"> NaNO</w:t>
      </w:r>
      <w:r>
        <w:rPr>
          <w:vertAlign w:val="subscript"/>
        </w:rPr>
        <w:t>3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6872AF" w:rsidRDefault="00C2068B" w:rsidP="007B3C7F">
      <w:pPr>
        <w:spacing w:before="60" w:after="60"/>
        <w:jc w:val="center"/>
      </w:pPr>
      <w:r>
        <w:t>H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 w:rsidR="006872AF">
        <w:t>+ </w:t>
      </w:r>
      <w:r w:rsidRPr="006872AF">
        <w:rPr>
          <w:strike/>
        </w:rPr>
        <w:t>NO</w:t>
      </w:r>
      <w:r>
        <w:rPr>
          <w:vertAlign w:val="subscript"/>
        </w:rPr>
        <w:t>3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</w:t>
      </w:r>
      <w:r w:rsidRPr="006872AF">
        <w:rPr>
          <w:strike/>
        </w:rPr>
        <w:t>Na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 w:rsidR="004A11B5">
        <w:rPr>
          <w:rFonts w:ascii="Times New Roman" w:hAnsi="Times New Roman"/>
        </w:rPr>
        <w:t>→</w:t>
      </w:r>
      <w:r>
        <w:t xml:space="preserve"> </w:t>
      </w:r>
      <w:r w:rsidR="006872AF" w:rsidRPr="006872AF">
        <w:rPr>
          <w:strike/>
        </w:rPr>
        <w:t>Na</w:t>
      </w:r>
      <w:r w:rsidR="006872AF">
        <w:rPr>
          <w:vertAlign w:val="superscript"/>
        </w:rPr>
        <w:t>+</w:t>
      </w:r>
      <w:r w:rsidR="006872AF" w:rsidRPr="00C2068B">
        <w:rPr>
          <w:sz w:val="12"/>
          <w:szCs w:val="12"/>
        </w:rPr>
        <w:t> </w:t>
      </w:r>
      <w:r w:rsidR="006872AF" w:rsidRPr="00C2068B">
        <w:rPr>
          <w:sz w:val="18"/>
          <w:szCs w:val="18"/>
        </w:rPr>
        <w:t>(</w:t>
      </w:r>
      <w:proofErr w:type="spellStart"/>
      <w:r w:rsidR="006872AF" w:rsidRPr="00C2068B">
        <w:rPr>
          <w:sz w:val="18"/>
          <w:szCs w:val="18"/>
        </w:rPr>
        <w:t>aq</w:t>
      </w:r>
      <w:proofErr w:type="spellEnd"/>
      <w:r w:rsidR="006872AF" w:rsidRPr="00C2068B">
        <w:rPr>
          <w:sz w:val="18"/>
          <w:szCs w:val="18"/>
        </w:rPr>
        <w:t>)</w:t>
      </w:r>
      <w:r w:rsidR="006872AF">
        <w:t> + </w:t>
      </w:r>
      <w:r w:rsidR="006872AF" w:rsidRPr="006872AF">
        <w:rPr>
          <w:strike/>
        </w:rPr>
        <w:t>NO</w:t>
      </w:r>
      <w:r w:rsidR="006872AF">
        <w:rPr>
          <w:vertAlign w:val="subscript"/>
        </w:rPr>
        <w:t>3</w:t>
      </w:r>
      <w:r w:rsidR="006872AF">
        <w:rPr>
          <w:vertAlign w:val="superscript"/>
        </w:rPr>
        <w:t>−</w:t>
      </w:r>
      <w:r w:rsidR="006872AF" w:rsidRPr="00C2068B">
        <w:rPr>
          <w:sz w:val="12"/>
          <w:szCs w:val="12"/>
        </w:rPr>
        <w:t> </w:t>
      </w:r>
      <w:r w:rsidR="006872AF" w:rsidRPr="00C2068B">
        <w:rPr>
          <w:sz w:val="18"/>
          <w:szCs w:val="18"/>
        </w:rPr>
        <w:t>(</w:t>
      </w:r>
      <w:proofErr w:type="spellStart"/>
      <w:r w:rsidR="006872AF" w:rsidRPr="00C2068B">
        <w:rPr>
          <w:sz w:val="18"/>
          <w:szCs w:val="18"/>
        </w:rPr>
        <w:t>aq</w:t>
      </w:r>
      <w:proofErr w:type="spellEnd"/>
      <w:r w:rsidR="006872AF" w:rsidRPr="00C2068B">
        <w:rPr>
          <w:sz w:val="18"/>
          <w:szCs w:val="18"/>
        </w:rPr>
        <w:t>)</w:t>
      </w:r>
      <w:r w:rsidR="006872AF">
        <w:t> + </w:t>
      </w:r>
      <w:r>
        <w:t>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6872AF" w:rsidRDefault="006872AF" w:rsidP="007B3C7F">
      <w:pPr>
        <w:spacing w:before="60" w:after="60"/>
        <w:jc w:val="center"/>
      </w:pPr>
      <w:r>
        <w:t>H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 w:rsidR="004A11B5">
        <w:rPr>
          <w:rFonts w:ascii="Times New Roman" w:hAnsi="Times New Roman"/>
        </w:rPr>
        <w:t>→</w:t>
      </w:r>
      <w:r>
        <w:t xml:space="preserve"> 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C2068B" w:rsidRDefault="004A11B5" w:rsidP="00567615">
      <w:pPr>
        <w:pStyle w:val="Heading3"/>
      </w:pPr>
      <w:r>
        <w:br w:type="page"/>
      </w:r>
      <w:r w:rsidR="006872AF">
        <w:lastRenderedPageBreak/>
        <w:t>Weak Acid/Strong Base</w:t>
      </w:r>
    </w:p>
    <w:p w:rsidR="004A11B5" w:rsidRDefault="004A11B5" w:rsidP="00567615">
      <w:pPr>
        <w:numPr>
          <w:ilvl w:val="0"/>
          <w:numId w:val="36"/>
        </w:numPr>
        <w:spacing w:before="60" w:after="120"/>
      </w:pPr>
      <w:r>
        <w:t>Write the weak reaction (ionization of the weak acid) first.</w:t>
      </w:r>
    </w:p>
    <w:p w:rsidR="004A11B5" w:rsidRDefault="004A11B5" w:rsidP="00567615">
      <w:pPr>
        <w:numPr>
          <w:ilvl w:val="0"/>
          <w:numId w:val="36"/>
        </w:numPr>
        <w:spacing w:after="120"/>
      </w:pPr>
      <w:r>
        <w:t>Write the reaction for the H</w:t>
      </w:r>
      <w:r>
        <w:rPr>
          <w:vertAlign w:val="superscript"/>
        </w:rPr>
        <w:t>+</w:t>
      </w:r>
      <w:r>
        <w:t xml:space="preserve"> combining with OH</w:t>
      </w:r>
      <w:r w:rsidRPr="006872AF">
        <w:rPr>
          <w:vertAlign w:val="superscript"/>
        </w:rPr>
        <w:t>−</w:t>
      </w:r>
      <w:r>
        <w:t xml:space="preserve"> </w:t>
      </w:r>
      <w:r w:rsidR="00567615">
        <w:t xml:space="preserve">from the strong base </w:t>
      </w:r>
      <w:r>
        <w:t>to form H</w:t>
      </w:r>
      <w:r>
        <w:rPr>
          <w:vertAlign w:val="subscript"/>
        </w:rPr>
        <w:t>2</w:t>
      </w:r>
      <w:r>
        <w:t>O.</w:t>
      </w:r>
    </w:p>
    <w:p w:rsidR="004A11B5" w:rsidRDefault="004A11B5" w:rsidP="00567615">
      <w:pPr>
        <w:numPr>
          <w:ilvl w:val="0"/>
          <w:numId w:val="36"/>
        </w:numPr>
        <w:spacing w:after="120"/>
      </w:pPr>
      <w:r>
        <w:t>Combine the two reactions.</w:t>
      </w:r>
    </w:p>
    <w:p w:rsidR="004A11B5" w:rsidRDefault="004A11B5" w:rsidP="00567615">
      <w:pPr>
        <w:numPr>
          <w:ilvl w:val="0"/>
          <w:numId w:val="36"/>
        </w:numPr>
        <w:spacing w:after="120"/>
      </w:pPr>
      <w:r>
        <w:t xml:space="preserve">Cancel out </w:t>
      </w:r>
      <w:r w:rsidRPr="006872AF">
        <w:t>H</w:t>
      </w:r>
      <w:r w:rsidR="00567615">
        <w:rPr>
          <w:vertAlign w:val="superscript"/>
        </w:rPr>
        <w:t>+</w:t>
      </w:r>
      <w:r w:rsidR="00567615">
        <w:t xml:space="preserve"> f</w:t>
      </w:r>
      <w:r>
        <w:t>rom both sides.</w:t>
      </w:r>
    </w:p>
    <w:p w:rsidR="004A11B5" w:rsidRDefault="004A11B5" w:rsidP="00567615">
      <w:pPr>
        <w:spacing w:after="0"/>
      </w:pPr>
      <w:r>
        <w:t xml:space="preserve">For example, in the reaction between HF (weak acid) and </w:t>
      </w:r>
      <w:proofErr w:type="spellStart"/>
      <w:r>
        <w:t>NaOH</w:t>
      </w:r>
      <w:proofErr w:type="spellEnd"/>
      <w:r>
        <w:t xml:space="preserve"> (strong base):</w:t>
      </w:r>
    </w:p>
    <w:p w:rsidR="004A11B5" w:rsidRDefault="004A11B5" w:rsidP="007B3C7F">
      <w:pPr>
        <w:spacing w:before="60" w:after="60"/>
        <w:jc w:val="center"/>
      </w:pPr>
      <w:r w:rsidRPr="006872AF">
        <w:t>H</w:t>
      </w:r>
      <w:r>
        <w:t>F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</w:t>
      </w:r>
      <w:r>
        <w:t> F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4A11B5" w:rsidRDefault="004A11B5" w:rsidP="007B3C7F">
      <w:pPr>
        <w:spacing w:before="60" w:after="60"/>
        <w:jc w:val="center"/>
      </w:pPr>
      <w:r>
        <w:t>H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t xml:space="preserve"> 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4A11B5" w:rsidRDefault="004A11B5" w:rsidP="007B3C7F">
      <w:pPr>
        <w:spacing w:before="60" w:after="60"/>
        <w:jc w:val="center"/>
        <w:rPr>
          <w:sz w:val="18"/>
          <w:szCs w:val="18"/>
        </w:rPr>
      </w:pPr>
      <w:r w:rsidRPr="006872AF">
        <w:t>H</w:t>
      </w:r>
      <w:r>
        <w:t>F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t xml:space="preserve">+ </w:t>
      </w:r>
      <w:r w:rsidRPr="004A11B5">
        <w:rPr>
          <w:strike/>
        </w:rPr>
        <w:t>H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 w:rsidRPr="006872AF">
        <w:t xml:space="preserve"> </w:t>
      </w:r>
      <w:r>
        <w:rPr>
          <w:rFonts w:ascii="Times New Roman" w:hAnsi="Times New Roman"/>
        </w:rPr>
        <w:t>→</w:t>
      </w:r>
      <w:r w:rsidRPr="006872AF">
        <w:t xml:space="preserve"> </w:t>
      </w:r>
      <w:r w:rsidRPr="004A11B5">
        <w:rPr>
          <w:strike/>
        </w:rPr>
        <w:t>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</w:t>
      </w:r>
      <w:r>
        <w:t> F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>
        <w:t xml:space="preserve"> 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4A11B5" w:rsidRDefault="004A11B5" w:rsidP="007B3C7F">
      <w:pPr>
        <w:spacing w:before="60" w:after="60"/>
        <w:jc w:val="center"/>
        <w:rPr>
          <w:sz w:val="18"/>
          <w:szCs w:val="18"/>
        </w:rPr>
      </w:pPr>
      <w:r w:rsidRPr="006872AF">
        <w:t>H</w:t>
      </w:r>
      <w:r>
        <w:t>F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t>+ 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 w:rsidRPr="006872AF">
        <w:t xml:space="preserve"> </w:t>
      </w:r>
      <w:r>
        <w:rPr>
          <w:rFonts w:ascii="Times New Roman" w:hAnsi="Times New Roman"/>
        </w:rPr>
        <w:t>→</w:t>
      </w:r>
      <w:r w:rsidRPr="006872AF">
        <w:t xml:space="preserve"> </w:t>
      </w:r>
      <w:r>
        <w:t>F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>
        <w:t xml:space="preserve"> 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567615" w:rsidRDefault="00567615" w:rsidP="007B3C7F">
      <w:pPr>
        <w:pStyle w:val="Heading3"/>
        <w:spacing w:before="240"/>
      </w:pPr>
      <w:r>
        <w:t>Strong Acid/Weak Base</w:t>
      </w:r>
    </w:p>
    <w:p w:rsidR="00567615" w:rsidRDefault="00567615" w:rsidP="00567615">
      <w:pPr>
        <w:numPr>
          <w:ilvl w:val="0"/>
          <w:numId w:val="38"/>
        </w:numPr>
        <w:spacing w:before="60" w:after="120"/>
      </w:pPr>
      <w:r>
        <w:t>Write the weak reaction (reaction of the weak base with water) first.</w:t>
      </w:r>
    </w:p>
    <w:p w:rsidR="00567615" w:rsidRDefault="00567615" w:rsidP="00567615">
      <w:pPr>
        <w:numPr>
          <w:ilvl w:val="0"/>
          <w:numId w:val="38"/>
        </w:numPr>
        <w:spacing w:after="120"/>
      </w:pPr>
      <w:r>
        <w:t>Write the reaction for the OH</w:t>
      </w:r>
      <w:r w:rsidRPr="006872AF">
        <w:rPr>
          <w:vertAlign w:val="superscript"/>
        </w:rPr>
        <w:t>−</w:t>
      </w:r>
      <w:r>
        <w:t xml:space="preserve"> combining with H</w:t>
      </w:r>
      <w:r>
        <w:rPr>
          <w:vertAlign w:val="superscript"/>
        </w:rPr>
        <w:t>+</w:t>
      </w:r>
      <w:r>
        <w:t xml:space="preserve"> from the strong acid to form H</w:t>
      </w:r>
      <w:r>
        <w:rPr>
          <w:vertAlign w:val="subscript"/>
        </w:rPr>
        <w:t>2</w:t>
      </w:r>
      <w:r>
        <w:t>O.</w:t>
      </w:r>
    </w:p>
    <w:p w:rsidR="00567615" w:rsidRDefault="00567615" w:rsidP="00567615">
      <w:pPr>
        <w:numPr>
          <w:ilvl w:val="0"/>
          <w:numId w:val="38"/>
        </w:numPr>
        <w:spacing w:after="120"/>
      </w:pPr>
      <w:r>
        <w:t>Combine the two reactions.</w:t>
      </w:r>
    </w:p>
    <w:p w:rsidR="00567615" w:rsidRDefault="00567615" w:rsidP="00567615">
      <w:pPr>
        <w:numPr>
          <w:ilvl w:val="0"/>
          <w:numId w:val="38"/>
        </w:numPr>
        <w:spacing w:after="120"/>
      </w:pPr>
      <w:r>
        <w:t>Cancel out OH</w:t>
      </w:r>
      <w:r w:rsidRPr="006872AF">
        <w:rPr>
          <w:vertAlign w:val="superscript"/>
        </w:rPr>
        <w:t>−</w:t>
      </w:r>
      <w:r>
        <w:t xml:space="preserve"> and H</w:t>
      </w:r>
      <w:r>
        <w:rPr>
          <w:vertAlign w:val="subscript"/>
        </w:rPr>
        <w:t>2</w:t>
      </w:r>
      <w:r>
        <w:t>O from both sides.</w:t>
      </w:r>
    </w:p>
    <w:p w:rsidR="00567615" w:rsidRDefault="00567615" w:rsidP="00567615">
      <w:pPr>
        <w:spacing w:after="120"/>
      </w:pPr>
      <w:r>
        <w:t xml:space="preserve">For example, in the reaction between </w:t>
      </w:r>
      <w:proofErr w:type="spellStart"/>
      <w:r>
        <w:t>HCl</w:t>
      </w:r>
      <w:proofErr w:type="spellEnd"/>
      <w:r>
        <w:t xml:space="preserve"> (strong acid) and NH</w:t>
      </w:r>
      <w:r>
        <w:rPr>
          <w:vertAlign w:val="subscript"/>
        </w:rPr>
        <w:t>3</w:t>
      </w:r>
      <w:r>
        <w:t xml:space="preserve"> (weak base):</w:t>
      </w:r>
    </w:p>
    <w:p w:rsidR="00567615" w:rsidRPr="006872AF" w:rsidRDefault="00567615" w:rsidP="007B3C7F">
      <w:pPr>
        <w:spacing w:before="60" w:after="60"/>
        <w:jc w:val="center"/>
      </w:pPr>
      <w:r>
        <w:t>NH</w:t>
      </w:r>
      <w:r>
        <w:rPr>
          <w:vertAlign w:val="subscript"/>
        </w:rPr>
        <w:t>3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t>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</w:t>
      </w:r>
      <w:r>
        <w:t>NH</w:t>
      </w:r>
      <w:r>
        <w:rPr>
          <w:vertAlign w:val="subscript"/>
        </w:rPr>
        <w:t>4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567615" w:rsidRDefault="00567615" w:rsidP="007B3C7F">
      <w:pPr>
        <w:spacing w:before="60" w:after="60"/>
        <w:jc w:val="center"/>
      </w:pPr>
      <w:r>
        <w:t>H</w:t>
      </w:r>
      <w:r>
        <w:rPr>
          <w:vertAlign w:val="superscript"/>
        </w:rPr>
        <w:t>+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t xml:space="preserve"> 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567615" w:rsidRPr="00567615" w:rsidRDefault="00567615" w:rsidP="007B3C7F">
      <w:pPr>
        <w:spacing w:before="60" w:after="60"/>
        <w:jc w:val="center"/>
        <w:rPr>
          <w:sz w:val="18"/>
          <w:szCs w:val="18"/>
        </w:rPr>
      </w:pPr>
      <w:r w:rsidRPr="00567615">
        <w:t>NH</w:t>
      </w:r>
      <w:r w:rsidRPr="00567615">
        <w:rPr>
          <w:vertAlign w:val="subscript"/>
        </w:rPr>
        <w:t>3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</w:t>
      </w:r>
      <w:proofErr w:type="spellStart"/>
      <w:r w:rsidRPr="00567615">
        <w:rPr>
          <w:sz w:val="18"/>
          <w:szCs w:val="18"/>
        </w:rPr>
        <w:t>aq</w:t>
      </w:r>
      <w:proofErr w:type="spellEnd"/>
      <w:r w:rsidRPr="00567615">
        <w:rPr>
          <w:sz w:val="18"/>
          <w:szCs w:val="18"/>
        </w:rPr>
        <w:t>)</w:t>
      </w:r>
      <w:r w:rsidRPr="00567615">
        <w:t xml:space="preserve"> + </w:t>
      </w:r>
      <w:r w:rsidRPr="00567615">
        <w:rPr>
          <w:strike/>
        </w:rPr>
        <w:t>H</w:t>
      </w:r>
      <w:r w:rsidRPr="00567615">
        <w:rPr>
          <w:strike/>
          <w:vertAlign w:val="subscript"/>
        </w:rPr>
        <w:t>2</w:t>
      </w:r>
      <w:r w:rsidRPr="00567615">
        <w:rPr>
          <w:strike/>
        </w:rPr>
        <w:t>O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(ℓ)</w:t>
      </w:r>
      <w:r w:rsidRPr="00567615">
        <w:t xml:space="preserve"> + H</w:t>
      </w:r>
      <w:r w:rsidRPr="00567615">
        <w:rPr>
          <w:vertAlign w:val="superscript"/>
        </w:rPr>
        <w:t>+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</w:t>
      </w:r>
      <w:proofErr w:type="spellStart"/>
      <w:r w:rsidRPr="00567615">
        <w:rPr>
          <w:sz w:val="18"/>
          <w:szCs w:val="18"/>
        </w:rPr>
        <w:t>aq</w:t>
      </w:r>
      <w:proofErr w:type="spellEnd"/>
      <w:r w:rsidRPr="00567615">
        <w:rPr>
          <w:sz w:val="18"/>
          <w:szCs w:val="18"/>
        </w:rPr>
        <w:t>)</w:t>
      </w:r>
      <w:r w:rsidRPr="00567615">
        <w:t> + </w:t>
      </w:r>
      <w:r w:rsidRPr="00567615">
        <w:rPr>
          <w:strike/>
        </w:rPr>
        <w:t>OH</w:t>
      </w:r>
      <w:r w:rsidRPr="00567615">
        <w:rPr>
          <w:vertAlign w:val="superscript"/>
        </w:rPr>
        <w:t>−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</w:t>
      </w:r>
      <w:proofErr w:type="spellStart"/>
      <w:r w:rsidRPr="00567615">
        <w:rPr>
          <w:sz w:val="18"/>
          <w:szCs w:val="18"/>
        </w:rPr>
        <w:t>aq</w:t>
      </w:r>
      <w:proofErr w:type="spellEnd"/>
      <w:r w:rsidRPr="00567615">
        <w:rPr>
          <w:sz w:val="18"/>
          <w:szCs w:val="18"/>
        </w:rPr>
        <w:t>)</w:t>
      </w:r>
      <w:r w:rsidRPr="00567615">
        <w:t xml:space="preserve"> </w:t>
      </w:r>
      <w:r w:rsidRPr="00567615">
        <w:rPr>
          <w:rFonts w:ascii="Times New Roman" w:hAnsi="Times New Roman"/>
        </w:rPr>
        <w:t>→</w:t>
      </w:r>
      <w:r w:rsidRPr="00567615">
        <w:t xml:space="preserve"> </w:t>
      </w:r>
      <w:r>
        <w:t>NH</w:t>
      </w:r>
      <w:r>
        <w:rPr>
          <w:vertAlign w:val="subscript"/>
        </w:rPr>
        <w:t>4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</w:t>
      </w:r>
      <w:r w:rsidRPr="00567615">
        <w:rPr>
          <w:strike/>
        </w:rPr>
        <w:t>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567615">
        <w:t xml:space="preserve"> + </w:t>
      </w:r>
      <w:r w:rsidRPr="00567615">
        <w:rPr>
          <w:strike/>
        </w:rPr>
        <w:t>H</w:t>
      </w:r>
      <w:r w:rsidRPr="00567615">
        <w:rPr>
          <w:strike/>
          <w:vertAlign w:val="subscript"/>
        </w:rPr>
        <w:t>2</w:t>
      </w:r>
      <w:r w:rsidRPr="00567615">
        <w:rPr>
          <w:strike/>
        </w:rPr>
        <w:t>O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(ℓ)</w:t>
      </w:r>
    </w:p>
    <w:p w:rsidR="00567615" w:rsidRPr="00567615" w:rsidRDefault="00567615" w:rsidP="007B3C7F">
      <w:pPr>
        <w:spacing w:before="60" w:after="60"/>
        <w:jc w:val="center"/>
        <w:rPr>
          <w:sz w:val="18"/>
          <w:szCs w:val="18"/>
        </w:rPr>
      </w:pPr>
      <w:r w:rsidRPr="00567615">
        <w:t>NH</w:t>
      </w:r>
      <w:r w:rsidRPr="00567615">
        <w:rPr>
          <w:vertAlign w:val="subscript"/>
        </w:rPr>
        <w:t>3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</w:t>
      </w:r>
      <w:proofErr w:type="spellStart"/>
      <w:r w:rsidRPr="00567615">
        <w:rPr>
          <w:sz w:val="18"/>
          <w:szCs w:val="18"/>
        </w:rPr>
        <w:t>aq</w:t>
      </w:r>
      <w:proofErr w:type="spellEnd"/>
      <w:r w:rsidRPr="00567615">
        <w:rPr>
          <w:sz w:val="18"/>
          <w:szCs w:val="18"/>
        </w:rPr>
        <w:t>)</w:t>
      </w:r>
      <w:r w:rsidRPr="00567615">
        <w:t xml:space="preserve"> +  H</w:t>
      </w:r>
      <w:r w:rsidRPr="00567615">
        <w:rPr>
          <w:vertAlign w:val="superscript"/>
        </w:rPr>
        <w:t>+</w:t>
      </w:r>
      <w:r w:rsidRPr="00567615">
        <w:rPr>
          <w:sz w:val="12"/>
          <w:szCs w:val="12"/>
        </w:rPr>
        <w:t> </w:t>
      </w:r>
      <w:r w:rsidRPr="00567615">
        <w:rPr>
          <w:sz w:val="18"/>
          <w:szCs w:val="18"/>
        </w:rPr>
        <w:t>(</w:t>
      </w:r>
      <w:proofErr w:type="spellStart"/>
      <w:r w:rsidRPr="00567615">
        <w:rPr>
          <w:sz w:val="18"/>
          <w:szCs w:val="18"/>
        </w:rPr>
        <w:t>aq</w:t>
      </w:r>
      <w:proofErr w:type="spellEnd"/>
      <w:r w:rsidRPr="00567615">
        <w:rPr>
          <w:sz w:val="18"/>
          <w:szCs w:val="18"/>
        </w:rPr>
        <w:t>)</w:t>
      </w:r>
      <w:r w:rsidRPr="00567615">
        <w:t xml:space="preserve">  </w:t>
      </w:r>
      <w:r w:rsidRPr="00567615">
        <w:rPr>
          <w:rFonts w:ascii="Times New Roman" w:hAnsi="Times New Roman"/>
        </w:rPr>
        <w:t>→</w:t>
      </w:r>
      <w:r w:rsidRPr="00567615">
        <w:t xml:space="preserve"> </w:t>
      </w:r>
      <w:r>
        <w:t>NH</w:t>
      </w:r>
      <w:r>
        <w:rPr>
          <w:vertAlign w:val="subscript"/>
        </w:rPr>
        <w:t>4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sectPr w:rsidR="00567615" w:rsidRPr="00567615" w:rsidSect="00B57031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6C" w:rsidRDefault="00796F6C">
      <w:r>
        <w:separator/>
      </w:r>
    </w:p>
  </w:endnote>
  <w:endnote w:type="continuationSeparator" w:id="0">
    <w:p w:rsidR="00796F6C" w:rsidRDefault="0079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E009B4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A2CF1">
      <w:rPr>
        <w:noProof/>
      </w:rPr>
      <w:t>5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6A2CF1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E009B4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A2CF1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6A2CF1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6C" w:rsidRDefault="00796F6C">
      <w:r>
        <w:separator/>
      </w:r>
    </w:p>
  </w:footnote>
  <w:footnote w:type="continuationSeparator" w:id="0">
    <w:p w:rsidR="00796F6C" w:rsidRDefault="0079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E009B4">
      <w:rPr>
        <w:sz w:val="32"/>
        <w:szCs w:val="32"/>
      </w:rPr>
      <w:t>Acid-Base Reactions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6494"/>
    <w:multiLevelType w:val="hybridMultilevel"/>
    <w:tmpl w:val="150A8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0E3547"/>
    <w:multiLevelType w:val="hybridMultilevel"/>
    <w:tmpl w:val="44CA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183640F"/>
    <w:multiLevelType w:val="hybridMultilevel"/>
    <w:tmpl w:val="040C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4749B"/>
    <w:multiLevelType w:val="multilevel"/>
    <w:tmpl w:val="150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CD3F80"/>
    <w:multiLevelType w:val="hybridMultilevel"/>
    <w:tmpl w:val="D44C1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2"/>
  </w:num>
  <w:num w:numId="4">
    <w:abstractNumId w:val="11"/>
  </w:num>
  <w:num w:numId="5">
    <w:abstractNumId w:val="24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3"/>
  </w:num>
  <w:num w:numId="21">
    <w:abstractNumId w:val="25"/>
  </w:num>
  <w:num w:numId="22">
    <w:abstractNumId w:val="34"/>
  </w:num>
  <w:num w:numId="23">
    <w:abstractNumId w:val="14"/>
  </w:num>
  <w:num w:numId="24">
    <w:abstractNumId w:val="18"/>
  </w:num>
  <w:num w:numId="25">
    <w:abstractNumId w:val="16"/>
  </w:num>
  <w:num w:numId="26">
    <w:abstractNumId w:val="33"/>
  </w:num>
  <w:num w:numId="27">
    <w:abstractNumId w:val="13"/>
  </w:num>
  <w:num w:numId="28">
    <w:abstractNumId w:val="28"/>
  </w:num>
  <w:num w:numId="29">
    <w:abstractNumId w:val="15"/>
  </w:num>
  <w:num w:numId="30">
    <w:abstractNumId w:val="37"/>
  </w:num>
  <w:num w:numId="31">
    <w:abstractNumId w:val="35"/>
  </w:num>
  <w:num w:numId="32">
    <w:abstractNumId w:val="21"/>
  </w:num>
  <w:num w:numId="33">
    <w:abstractNumId w:val="26"/>
  </w:num>
  <w:num w:numId="34">
    <w:abstractNumId w:val="38"/>
  </w:num>
  <w:num w:numId="35">
    <w:abstractNumId w:val="31"/>
  </w:num>
  <w:num w:numId="36">
    <w:abstractNumId w:val="10"/>
  </w:num>
  <w:num w:numId="37">
    <w:abstractNumId w:val="32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C2"/>
    <w:rsid w:val="00017FE6"/>
    <w:rsid w:val="000369EC"/>
    <w:rsid w:val="00037868"/>
    <w:rsid w:val="0004427D"/>
    <w:rsid w:val="000611C8"/>
    <w:rsid w:val="00073401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5006D"/>
    <w:rsid w:val="00181440"/>
    <w:rsid w:val="00190BF0"/>
    <w:rsid w:val="001935E3"/>
    <w:rsid w:val="00194151"/>
    <w:rsid w:val="001A1AB5"/>
    <w:rsid w:val="001A576C"/>
    <w:rsid w:val="001A6F02"/>
    <w:rsid w:val="001B063B"/>
    <w:rsid w:val="001D59B5"/>
    <w:rsid w:val="001D78AB"/>
    <w:rsid w:val="00222E43"/>
    <w:rsid w:val="00225F68"/>
    <w:rsid w:val="00240F3E"/>
    <w:rsid w:val="002472BC"/>
    <w:rsid w:val="00252FCD"/>
    <w:rsid w:val="0026108F"/>
    <w:rsid w:val="00280BE8"/>
    <w:rsid w:val="00297E94"/>
    <w:rsid w:val="002A76D1"/>
    <w:rsid w:val="002B51E6"/>
    <w:rsid w:val="002C314A"/>
    <w:rsid w:val="002C66B4"/>
    <w:rsid w:val="002D322A"/>
    <w:rsid w:val="002D5587"/>
    <w:rsid w:val="002F71CD"/>
    <w:rsid w:val="0030567B"/>
    <w:rsid w:val="00310E81"/>
    <w:rsid w:val="00326624"/>
    <w:rsid w:val="0033359A"/>
    <w:rsid w:val="00340D20"/>
    <w:rsid w:val="0035692A"/>
    <w:rsid w:val="00373A70"/>
    <w:rsid w:val="00396149"/>
    <w:rsid w:val="003A4D55"/>
    <w:rsid w:val="003B5306"/>
    <w:rsid w:val="003D4F32"/>
    <w:rsid w:val="004031CB"/>
    <w:rsid w:val="00424F75"/>
    <w:rsid w:val="00436888"/>
    <w:rsid w:val="00436BC5"/>
    <w:rsid w:val="00442672"/>
    <w:rsid w:val="00445C18"/>
    <w:rsid w:val="004513C5"/>
    <w:rsid w:val="00453A5A"/>
    <w:rsid w:val="00454AC7"/>
    <w:rsid w:val="00467F29"/>
    <w:rsid w:val="00475CBB"/>
    <w:rsid w:val="0047789B"/>
    <w:rsid w:val="004A11B5"/>
    <w:rsid w:val="004C247D"/>
    <w:rsid w:val="004C261A"/>
    <w:rsid w:val="004D2957"/>
    <w:rsid w:val="004D7194"/>
    <w:rsid w:val="004E412A"/>
    <w:rsid w:val="00535A64"/>
    <w:rsid w:val="0054315A"/>
    <w:rsid w:val="00567615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143BA"/>
    <w:rsid w:val="00623E7B"/>
    <w:rsid w:val="00630FED"/>
    <w:rsid w:val="00661DED"/>
    <w:rsid w:val="00664F7C"/>
    <w:rsid w:val="00675907"/>
    <w:rsid w:val="006872AF"/>
    <w:rsid w:val="00692044"/>
    <w:rsid w:val="006A2CF1"/>
    <w:rsid w:val="006A4AC1"/>
    <w:rsid w:val="006A4BBD"/>
    <w:rsid w:val="006B1D75"/>
    <w:rsid w:val="006C0FEA"/>
    <w:rsid w:val="006C1613"/>
    <w:rsid w:val="006C5F01"/>
    <w:rsid w:val="006F5921"/>
    <w:rsid w:val="00704987"/>
    <w:rsid w:val="00732686"/>
    <w:rsid w:val="00753C14"/>
    <w:rsid w:val="0076182E"/>
    <w:rsid w:val="007622FE"/>
    <w:rsid w:val="00774714"/>
    <w:rsid w:val="00787096"/>
    <w:rsid w:val="00796F6C"/>
    <w:rsid w:val="007B0A15"/>
    <w:rsid w:val="007B1024"/>
    <w:rsid w:val="007B1681"/>
    <w:rsid w:val="007B29EE"/>
    <w:rsid w:val="007B3C7F"/>
    <w:rsid w:val="007B55B9"/>
    <w:rsid w:val="007C37CD"/>
    <w:rsid w:val="007F103E"/>
    <w:rsid w:val="007F6039"/>
    <w:rsid w:val="007F67B5"/>
    <w:rsid w:val="008042EB"/>
    <w:rsid w:val="0081436C"/>
    <w:rsid w:val="00817E20"/>
    <w:rsid w:val="00845A74"/>
    <w:rsid w:val="00870EEC"/>
    <w:rsid w:val="00872E52"/>
    <w:rsid w:val="00876C7D"/>
    <w:rsid w:val="0089181B"/>
    <w:rsid w:val="008A7171"/>
    <w:rsid w:val="008B701D"/>
    <w:rsid w:val="008C5A84"/>
    <w:rsid w:val="008D2486"/>
    <w:rsid w:val="008D2E2C"/>
    <w:rsid w:val="009156EA"/>
    <w:rsid w:val="00944B38"/>
    <w:rsid w:val="00954406"/>
    <w:rsid w:val="00955686"/>
    <w:rsid w:val="009A498A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40B41"/>
    <w:rsid w:val="00B57031"/>
    <w:rsid w:val="00B654F2"/>
    <w:rsid w:val="00B714E5"/>
    <w:rsid w:val="00B8043C"/>
    <w:rsid w:val="00B80E63"/>
    <w:rsid w:val="00B96D0D"/>
    <w:rsid w:val="00BA4A3D"/>
    <w:rsid w:val="00BD53E9"/>
    <w:rsid w:val="00BE7ED4"/>
    <w:rsid w:val="00BF658B"/>
    <w:rsid w:val="00C0064C"/>
    <w:rsid w:val="00C02A14"/>
    <w:rsid w:val="00C032FF"/>
    <w:rsid w:val="00C0603D"/>
    <w:rsid w:val="00C2068B"/>
    <w:rsid w:val="00C761B7"/>
    <w:rsid w:val="00C85AC2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615"/>
    <w:rsid w:val="00D34FC3"/>
    <w:rsid w:val="00D42696"/>
    <w:rsid w:val="00D5133D"/>
    <w:rsid w:val="00D64661"/>
    <w:rsid w:val="00D73B76"/>
    <w:rsid w:val="00D80E95"/>
    <w:rsid w:val="00D931BE"/>
    <w:rsid w:val="00D9711C"/>
    <w:rsid w:val="00DA4ECA"/>
    <w:rsid w:val="00DB3D3E"/>
    <w:rsid w:val="00DC4C13"/>
    <w:rsid w:val="00DC51BA"/>
    <w:rsid w:val="00DC5490"/>
    <w:rsid w:val="00DE33D6"/>
    <w:rsid w:val="00DE5E05"/>
    <w:rsid w:val="00DE784D"/>
    <w:rsid w:val="00E009B4"/>
    <w:rsid w:val="00E10656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F16545"/>
    <w:rsid w:val="00F34C5B"/>
    <w:rsid w:val="00F51808"/>
    <w:rsid w:val="00F533AA"/>
    <w:rsid w:val="00F61945"/>
    <w:rsid w:val="00F65A2E"/>
    <w:rsid w:val="00F74EE2"/>
    <w:rsid w:val="00F77E9E"/>
    <w:rsid w:val="00F94629"/>
    <w:rsid w:val="00F961AB"/>
    <w:rsid w:val="00FA437A"/>
    <w:rsid w:val="00FA60FB"/>
    <w:rsid w:val="00FB533E"/>
    <w:rsid w:val="00FC181B"/>
    <w:rsid w:val="00FC3235"/>
    <w:rsid w:val="00FD3791"/>
    <w:rsid w:val="00FD5A6E"/>
    <w:rsid w:val="00FE0E7A"/>
    <w:rsid w:val="00FF460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FA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F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0</TotalTime>
  <Pages>7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Acid-Base Reactions</vt:lpstr>
    </vt:vector>
  </TitlesOfParts>
  <Company>Waltham High School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Acid-Base Reactions</dc:title>
  <dc:subject>Chemistry II</dc:subject>
  <dc:creator>Mr. Bigler</dc:creator>
  <cp:lastModifiedBy>profile creator</cp:lastModifiedBy>
  <cp:revision>3</cp:revision>
  <cp:lastPrinted>2014-01-09T15:24:00Z</cp:lastPrinted>
  <dcterms:created xsi:type="dcterms:W3CDTF">2015-03-16T15:31:00Z</dcterms:created>
  <dcterms:modified xsi:type="dcterms:W3CDTF">2015-03-16T15:54:00Z</dcterms:modified>
</cp:coreProperties>
</file>